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7347C" w14:textId="77777777" w:rsidR="003A1B57" w:rsidRDefault="003A1B57" w:rsidP="002E6E32">
      <w:pPr>
        <w:pStyle w:val="Heading2"/>
        <w:jc w:val="both"/>
      </w:pPr>
    </w:p>
    <w:p w14:paraId="3E2BB8DD" w14:textId="71F0635E" w:rsidR="00C46F83" w:rsidRDefault="00771F03" w:rsidP="002E6E32">
      <w:pPr>
        <w:pStyle w:val="Heading2"/>
        <w:jc w:val="both"/>
      </w:pPr>
      <w:r>
        <w:t xml:space="preserve">The </w:t>
      </w:r>
      <w:r w:rsidR="00E8296D">
        <w:t xml:space="preserve">Republic of </w:t>
      </w:r>
      <w:r w:rsidR="00E808CA">
        <w:t xml:space="preserve">North Macedonia </w:t>
      </w:r>
      <w:r w:rsidR="00BA06D1">
        <w:t>is now part of</w:t>
      </w:r>
      <w:r w:rsidR="00BA06D1" w:rsidRPr="00BA06D1">
        <w:t xml:space="preserve"> the SEPA payment schemes’ geographical scope</w:t>
      </w:r>
    </w:p>
    <w:p w14:paraId="370C1422" w14:textId="77777777" w:rsidR="00F55C03" w:rsidRPr="00F55C03" w:rsidRDefault="00F55C03" w:rsidP="002E6E32">
      <w:pPr>
        <w:jc w:val="both"/>
      </w:pPr>
    </w:p>
    <w:p w14:paraId="4523DADB" w14:textId="6F66C39A" w:rsidR="00A618CD" w:rsidRDefault="00BA06D1" w:rsidP="002E6E32">
      <w:pPr>
        <w:jc w:val="both"/>
        <w:rPr>
          <w:b/>
        </w:rPr>
      </w:pPr>
      <w:r w:rsidRPr="00BA06D1">
        <w:rPr>
          <w:b/>
        </w:rPr>
        <w:t xml:space="preserve">Brussels, </w:t>
      </w:r>
      <w:r w:rsidR="00E808CA">
        <w:rPr>
          <w:b/>
        </w:rPr>
        <w:t>6 March 2025</w:t>
      </w:r>
      <w:r w:rsidR="004A5E19">
        <w:rPr>
          <w:b/>
        </w:rPr>
        <w:t xml:space="preserve"> </w:t>
      </w:r>
      <w:r w:rsidR="00E8296D">
        <w:rPr>
          <w:b/>
        </w:rPr>
        <w:t xml:space="preserve">– </w:t>
      </w:r>
      <w:r w:rsidR="00771F03">
        <w:rPr>
          <w:b/>
        </w:rPr>
        <w:t xml:space="preserve">The </w:t>
      </w:r>
      <w:r w:rsidR="00E8296D">
        <w:rPr>
          <w:b/>
        </w:rPr>
        <w:t>Republic of</w:t>
      </w:r>
      <w:r w:rsidRPr="00BA06D1">
        <w:rPr>
          <w:b/>
        </w:rPr>
        <w:t xml:space="preserve"> </w:t>
      </w:r>
      <w:r w:rsidR="00E808CA">
        <w:rPr>
          <w:b/>
        </w:rPr>
        <w:t>North Macedonia</w:t>
      </w:r>
      <w:r w:rsidR="00C026EC" w:rsidRPr="00BA06D1">
        <w:rPr>
          <w:b/>
        </w:rPr>
        <w:t xml:space="preserve"> </w:t>
      </w:r>
      <w:r w:rsidRPr="00BA06D1">
        <w:rPr>
          <w:b/>
        </w:rPr>
        <w:t>is since today part of the geographical scope of the Single Euro Payments Area (SEPA) payment schemes.</w:t>
      </w:r>
      <w:r w:rsidR="00C619CF">
        <w:rPr>
          <w:b/>
        </w:rPr>
        <w:t xml:space="preserve"> </w:t>
      </w:r>
      <w:r w:rsidR="00C619CF" w:rsidRPr="00C619CF">
        <w:rPr>
          <w:b/>
        </w:rPr>
        <w:t xml:space="preserve">Under the </w:t>
      </w:r>
      <w:r w:rsidR="00C619CF" w:rsidRPr="00DD65FD">
        <w:rPr>
          <w:b/>
        </w:rPr>
        <w:t>guidance of the</w:t>
      </w:r>
      <w:r w:rsidR="00447AA2" w:rsidRPr="00DD65FD">
        <w:rPr>
          <w:b/>
        </w:rPr>
        <w:t xml:space="preserve"> </w:t>
      </w:r>
      <w:r w:rsidR="00E808CA">
        <w:rPr>
          <w:b/>
        </w:rPr>
        <w:t xml:space="preserve">National Bank of </w:t>
      </w:r>
      <w:r w:rsidR="00A25BA4">
        <w:rPr>
          <w:b/>
          <w:lang w:val="en-US"/>
        </w:rPr>
        <w:t xml:space="preserve">the Republic of </w:t>
      </w:r>
      <w:r w:rsidR="00E808CA">
        <w:rPr>
          <w:b/>
        </w:rPr>
        <w:t>North Macedonia (NB</w:t>
      </w:r>
      <w:r w:rsidR="00A25BA4">
        <w:rPr>
          <w:b/>
        </w:rPr>
        <w:t>R</w:t>
      </w:r>
      <w:r w:rsidR="00E808CA">
        <w:rPr>
          <w:b/>
        </w:rPr>
        <w:t>NM)</w:t>
      </w:r>
      <w:r w:rsidR="00C619CF" w:rsidRPr="00DD65FD">
        <w:rPr>
          <w:b/>
        </w:rPr>
        <w:t xml:space="preserve">, </w:t>
      </w:r>
      <w:r w:rsidR="00E8296D">
        <w:rPr>
          <w:b/>
        </w:rPr>
        <w:t xml:space="preserve">the country </w:t>
      </w:r>
      <w:r w:rsidR="00B10AE6" w:rsidRPr="00DD65FD">
        <w:rPr>
          <w:b/>
        </w:rPr>
        <w:t xml:space="preserve">has undertaken significant efforts in aligning </w:t>
      </w:r>
      <w:r w:rsidR="00FD3728">
        <w:rPr>
          <w:b/>
        </w:rPr>
        <w:t>its</w:t>
      </w:r>
      <w:r w:rsidR="00B10AE6" w:rsidRPr="00DD65FD">
        <w:rPr>
          <w:b/>
        </w:rPr>
        <w:t xml:space="preserve"> national</w:t>
      </w:r>
      <w:r w:rsidR="00FD3728">
        <w:rPr>
          <w:b/>
        </w:rPr>
        <w:t xml:space="preserve"> </w:t>
      </w:r>
      <w:r w:rsidR="00B10AE6" w:rsidRPr="00DD65FD">
        <w:rPr>
          <w:b/>
        </w:rPr>
        <w:t>payment systems</w:t>
      </w:r>
      <w:r w:rsidR="00B10AE6" w:rsidRPr="00B10AE6">
        <w:rPr>
          <w:b/>
        </w:rPr>
        <w:t xml:space="preserve"> and regulations with </w:t>
      </w:r>
      <w:r w:rsidR="00D16045">
        <w:rPr>
          <w:b/>
        </w:rPr>
        <w:t>European Union</w:t>
      </w:r>
      <w:r w:rsidR="00D16045" w:rsidRPr="00C619CF">
        <w:rPr>
          <w:b/>
        </w:rPr>
        <w:t xml:space="preserve"> </w:t>
      </w:r>
      <w:r w:rsidR="00D16045">
        <w:rPr>
          <w:b/>
        </w:rPr>
        <w:t>(</w:t>
      </w:r>
      <w:r w:rsidR="00B10AE6" w:rsidRPr="00B10AE6">
        <w:rPr>
          <w:b/>
        </w:rPr>
        <w:t>EU</w:t>
      </w:r>
      <w:r w:rsidR="00D16045">
        <w:rPr>
          <w:b/>
        </w:rPr>
        <w:t>)</w:t>
      </w:r>
      <w:r w:rsidR="00B10AE6" w:rsidRPr="00B10AE6">
        <w:rPr>
          <w:b/>
        </w:rPr>
        <w:t xml:space="preserve"> standards</w:t>
      </w:r>
      <w:r w:rsidR="00C619CF" w:rsidRPr="00C619CF">
        <w:rPr>
          <w:b/>
        </w:rPr>
        <w:t xml:space="preserve">, becoming </w:t>
      </w:r>
      <w:r w:rsidR="00D6149F">
        <w:rPr>
          <w:b/>
        </w:rPr>
        <w:t>the third</w:t>
      </w:r>
      <w:r w:rsidR="00B64483">
        <w:rPr>
          <w:b/>
        </w:rPr>
        <w:t xml:space="preserve"> </w:t>
      </w:r>
      <w:r w:rsidR="00C619CF" w:rsidRPr="00C619CF">
        <w:rPr>
          <w:b/>
        </w:rPr>
        <w:t xml:space="preserve">Western Balkan </w:t>
      </w:r>
      <w:r w:rsidR="00D6149F" w:rsidRPr="00C619CF">
        <w:rPr>
          <w:b/>
        </w:rPr>
        <w:t>countr</w:t>
      </w:r>
      <w:r w:rsidR="00D6149F">
        <w:rPr>
          <w:b/>
        </w:rPr>
        <w:t>y</w:t>
      </w:r>
      <w:r w:rsidR="00D6149F" w:rsidRPr="00C619CF">
        <w:rPr>
          <w:b/>
        </w:rPr>
        <w:t xml:space="preserve"> </w:t>
      </w:r>
      <w:r w:rsidR="00C619CF" w:rsidRPr="00C619CF">
        <w:rPr>
          <w:b/>
        </w:rPr>
        <w:t>to join the SEPA geographical scope.</w:t>
      </w:r>
    </w:p>
    <w:p w14:paraId="5CA3AEBB" w14:textId="35A8BDFD" w:rsidR="003B0E48" w:rsidRPr="00BA06D1" w:rsidRDefault="00BA06D1" w:rsidP="002E6E32">
      <w:pPr>
        <w:jc w:val="both"/>
        <w:rPr>
          <w:bCs/>
        </w:rPr>
      </w:pPr>
      <w:r w:rsidRPr="00BA06D1">
        <w:rPr>
          <w:bCs/>
        </w:rPr>
        <w:t xml:space="preserve">All existing European Payments Council (EPC) </w:t>
      </w:r>
      <w:r w:rsidR="0047435F">
        <w:rPr>
          <w:bCs/>
        </w:rPr>
        <w:t xml:space="preserve">payment </w:t>
      </w:r>
      <w:r w:rsidRPr="00BA06D1">
        <w:rPr>
          <w:bCs/>
        </w:rPr>
        <w:t xml:space="preserve">scheme participants </w:t>
      </w:r>
      <w:r w:rsidR="004F3A06">
        <w:rPr>
          <w:bCs/>
        </w:rPr>
        <w:t>will</w:t>
      </w:r>
      <w:r w:rsidRPr="00BA06D1">
        <w:rPr>
          <w:bCs/>
        </w:rPr>
        <w:t xml:space="preserve"> be able to send or to receive SEPA Credit Transfer (SCT), SEPA Instant Credit Transfer (SCT Inst) and SEPA Direct Debit (SDD) transactions to and from SCT, SCT Inst and SDD scheme participants from </w:t>
      </w:r>
      <w:r w:rsidR="00E8296D">
        <w:rPr>
          <w:bCs/>
        </w:rPr>
        <w:t xml:space="preserve">Republic of </w:t>
      </w:r>
      <w:r w:rsidR="00E808CA">
        <w:rPr>
          <w:bCs/>
        </w:rPr>
        <w:t>North Macedonia</w:t>
      </w:r>
      <w:r w:rsidRPr="00BA06D1">
        <w:rPr>
          <w:bCs/>
        </w:rPr>
        <w:t xml:space="preserve"> as and when their financial institutions adhere to these schemes.</w:t>
      </w:r>
    </w:p>
    <w:p w14:paraId="4DF6DABC" w14:textId="04322D24" w:rsidR="00BA06D1" w:rsidRDefault="00866295" w:rsidP="002E6E32">
      <w:pPr>
        <w:spacing w:after="160" w:line="259" w:lineRule="auto"/>
        <w:jc w:val="both"/>
        <w:rPr>
          <w:rFonts w:asciiTheme="majorHAnsi" w:eastAsia="Calibri" w:hAnsiTheme="majorHAnsi" w:cstheme="majorHAnsi"/>
          <w:bCs/>
        </w:rPr>
      </w:pPr>
      <w:r w:rsidRPr="00DB3D98">
        <w:rPr>
          <w:rFonts w:asciiTheme="majorHAnsi" w:eastAsia="Calibri" w:hAnsiTheme="majorHAnsi" w:cstheme="majorHAnsi"/>
          <w:bCs/>
        </w:rPr>
        <w:t xml:space="preserve">The adherence of </w:t>
      </w:r>
      <w:r w:rsidR="00E8296D">
        <w:rPr>
          <w:rFonts w:asciiTheme="majorHAnsi" w:eastAsia="Calibri" w:hAnsiTheme="majorHAnsi" w:cstheme="majorHAnsi"/>
          <w:bCs/>
        </w:rPr>
        <w:t xml:space="preserve">the country’s </w:t>
      </w:r>
      <w:r w:rsidRPr="00DB3D98">
        <w:rPr>
          <w:rFonts w:asciiTheme="majorHAnsi" w:eastAsia="Calibri" w:hAnsiTheme="majorHAnsi" w:cstheme="majorHAnsi"/>
          <w:bCs/>
        </w:rPr>
        <w:t>financial institutions to the SEPA payment schemes, according to the EPC calendar, will be enabled starting from April 2025</w:t>
      </w:r>
      <w:r w:rsidR="0036201B">
        <w:rPr>
          <w:rFonts w:asciiTheme="majorHAnsi" w:eastAsia="Calibri" w:hAnsiTheme="majorHAnsi" w:cstheme="majorHAnsi"/>
          <w:bCs/>
        </w:rPr>
        <w:t xml:space="preserve">. The earliest </w:t>
      </w:r>
      <w:r w:rsidRPr="00DB3D98">
        <w:rPr>
          <w:rFonts w:asciiTheme="majorHAnsi" w:eastAsia="Calibri" w:hAnsiTheme="majorHAnsi" w:cstheme="majorHAnsi"/>
          <w:bCs/>
        </w:rPr>
        <w:t xml:space="preserve">Operational Readiness Date (ORD) for payment service providers (PSPs) from </w:t>
      </w:r>
      <w:r w:rsidR="00B35C12">
        <w:rPr>
          <w:rFonts w:asciiTheme="majorHAnsi" w:eastAsia="Calibri" w:hAnsiTheme="majorHAnsi" w:cstheme="majorHAnsi"/>
          <w:bCs/>
          <w:lang w:val="sq-AL"/>
        </w:rPr>
        <w:t>the countr</w:t>
      </w:r>
      <w:r w:rsidR="00B35C12">
        <w:rPr>
          <w:rFonts w:asciiTheme="majorHAnsi" w:eastAsia="Calibri" w:hAnsiTheme="majorHAnsi" w:cstheme="majorHAnsi"/>
          <w:bCs/>
          <w:lang w:val="en-US"/>
        </w:rPr>
        <w:t>y</w:t>
      </w:r>
      <w:r w:rsidRPr="00DB3D98">
        <w:rPr>
          <w:rFonts w:asciiTheme="majorHAnsi" w:eastAsia="Calibri" w:hAnsiTheme="majorHAnsi" w:cstheme="majorHAnsi"/>
          <w:bCs/>
        </w:rPr>
        <w:t xml:space="preserve"> </w:t>
      </w:r>
      <w:r w:rsidR="0036201B">
        <w:rPr>
          <w:rFonts w:asciiTheme="majorHAnsi" w:eastAsia="Calibri" w:hAnsiTheme="majorHAnsi" w:cstheme="majorHAnsi"/>
          <w:bCs/>
        </w:rPr>
        <w:t>is 5 October 2025.</w:t>
      </w:r>
    </w:p>
    <w:p w14:paraId="6B235111" w14:textId="13FA627F" w:rsidR="00BA06D1" w:rsidRPr="00DB3D98" w:rsidRDefault="00DC4E24" w:rsidP="002E6E32">
      <w:pPr>
        <w:spacing w:after="160" w:line="259" w:lineRule="auto"/>
        <w:jc w:val="both"/>
        <w:rPr>
          <w:rFonts w:asciiTheme="majorHAnsi" w:eastAsia="Calibri" w:hAnsiTheme="majorHAnsi" w:cstheme="majorHAnsi"/>
          <w:bCs/>
        </w:rPr>
      </w:pPr>
      <w:r w:rsidRPr="006158A9">
        <w:rPr>
          <w:rFonts w:asciiTheme="majorHAnsi" w:eastAsia="Calibri" w:hAnsiTheme="majorHAnsi" w:cstheme="majorHAnsi"/>
          <w:bCs/>
          <w:i/>
          <w:iCs/>
        </w:rPr>
        <w:t>“</w:t>
      </w:r>
      <w:r w:rsidR="00E8296D" w:rsidRPr="006158A9">
        <w:rPr>
          <w:rFonts w:asciiTheme="majorHAnsi" w:eastAsia="Calibri" w:hAnsiTheme="majorHAnsi" w:cstheme="majorHAnsi"/>
          <w:bCs/>
          <w:i/>
          <w:iCs/>
        </w:rPr>
        <w:t xml:space="preserve">Joining SEPA is a historic step forward for our country. Even though we are not </w:t>
      </w:r>
      <w:r w:rsidR="00355919" w:rsidRPr="006158A9">
        <w:rPr>
          <w:rFonts w:asciiTheme="majorHAnsi" w:eastAsia="Calibri" w:hAnsiTheme="majorHAnsi" w:cstheme="majorHAnsi"/>
          <w:bCs/>
          <w:i/>
          <w:iCs/>
        </w:rPr>
        <w:t>a</w:t>
      </w:r>
      <w:r w:rsidR="00B362E5" w:rsidRPr="006158A9">
        <w:rPr>
          <w:rFonts w:asciiTheme="majorHAnsi" w:eastAsia="Calibri" w:hAnsiTheme="majorHAnsi" w:cstheme="majorHAnsi"/>
          <w:bCs/>
          <w:i/>
          <w:iCs/>
        </w:rPr>
        <w:t>n EU</w:t>
      </w:r>
      <w:r w:rsidR="00E8296D" w:rsidRPr="006158A9">
        <w:rPr>
          <w:rFonts w:asciiTheme="majorHAnsi" w:eastAsia="Calibri" w:hAnsiTheme="majorHAnsi" w:cstheme="majorHAnsi"/>
          <w:bCs/>
          <w:i/>
          <w:iCs/>
        </w:rPr>
        <w:t xml:space="preserve"> member, our payment service providers can still </w:t>
      </w:r>
      <w:r w:rsidR="00DE2CDF" w:rsidRPr="006158A9">
        <w:rPr>
          <w:rFonts w:asciiTheme="majorHAnsi" w:eastAsia="Calibri" w:hAnsiTheme="majorHAnsi" w:cstheme="majorHAnsi"/>
          <w:bCs/>
          <w:i/>
          <w:iCs/>
        </w:rPr>
        <w:t>join</w:t>
      </w:r>
      <w:r w:rsidR="00E8296D" w:rsidRPr="006158A9">
        <w:rPr>
          <w:rFonts w:asciiTheme="majorHAnsi" w:eastAsia="Calibri" w:hAnsiTheme="majorHAnsi" w:cstheme="majorHAnsi"/>
          <w:bCs/>
          <w:i/>
          <w:iCs/>
        </w:rPr>
        <w:t xml:space="preserve"> the SEPA Payment </w:t>
      </w:r>
      <w:r w:rsidR="00355919" w:rsidRPr="006158A9">
        <w:rPr>
          <w:rFonts w:asciiTheme="majorHAnsi" w:eastAsia="Calibri" w:hAnsiTheme="majorHAnsi" w:cstheme="majorHAnsi"/>
          <w:bCs/>
          <w:i/>
          <w:iCs/>
        </w:rPr>
        <w:t>Schemes</w:t>
      </w:r>
      <w:r w:rsidR="00E8296D" w:rsidRPr="006158A9">
        <w:rPr>
          <w:rFonts w:asciiTheme="majorHAnsi" w:eastAsia="Calibri" w:hAnsiTheme="majorHAnsi" w:cstheme="majorHAnsi"/>
          <w:bCs/>
          <w:i/>
          <w:iCs/>
        </w:rPr>
        <w:t xml:space="preserve">. This will </w:t>
      </w:r>
      <w:r w:rsidR="00DE2CDF" w:rsidRPr="006158A9">
        <w:rPr>
          <w:rFonts w:asciiTheme="majorHAnsi" w:eastAsia="Calibri" w:hAnsiTheme="majorHAnsi" w:cstheme="majorHAnsi"/>
          <w:bCs/>
          <w:i/>
          <w:iCs/>
        </w:rPr>
        <w:t xml:space="preserve">contribute </w:t>
      </w:r>
      <w:r w:rsidR="00E8296D" w:rsidRPr="006158A9">
        <w:rPr>
          <w:rFonts w:asciiTheme="majorHAnsi" w:eastAsia="Calibri" w:hAnsiTheme="majorHAnsi" w:cstheme="majorHAnsi"/>
          <w:bCs/>
          <w:i/>
          <w:iCs/>
        </w:rPr>
        <w:t>to faster, cheaper and more reliable cross-border payments for both citizens and companies, as well as for further financial inte</w:t>
      </w:r>
      <w:r w:rsidR="00326F7B" w:rsidRPr="006158A9">
        <w:rPr>
          <w:rFonts w:asciiTheme="majorHAnsi" w:eastAsia="Calibri" w:hAnsiTheme="majorHAnsi" w:cstheme="majorHAnsi"/>
          <w:bCs/>
          <w:i/>
          <w:iCs/>
        </w:rPr>
        <w:t>gration with the European Union</w:t>
      </w:r>
      <w:r w:rsidRPr="006158A9">
        <w:rPr>
          <w:rFonts w:asciiTheme="majorHAnsi" w:eastAsia="Calibri" w:hAnsiTheme="majorHAnsi" w:cstheme="majorHAnsi"/>
          <w:bCs/>
          <w:i/>
          <w:iCs/>
        </w:rPr>
        <w:t>”</w:t>
      </w:r>
      <w:r w:rsidR="00DB3D98" w:rsidRPr="006158A9">
        <w:rPr>
          <w:rFonts w:asciiTheme="majorHAnsi" w:eastAsia="Calibri" w:hAnsiTheme="majorHAnsi" w:cstheme="majorHAnsi"/>
          <w:bCs/>
          <w:i/>
          <w:iCs/>
        </w:rPr>
        <w:t>,</w:t>
      </w:r>
      <w:r w:rsidR="00DB3D98">
        <w:rPr>
          <w:rFonts w:asciiTheme="majorHAnsi" w:eastAsia="Calibri" w:hAnsiTheme="majorHAnsi" w:cstheme="majorHAnsi"/>
          <w:bCs/>
        </w:rPr>
        <w:t xml:space="preserve"> </w:t>
      </w:r>
      <w:r w:rsidR="002C6285">
        <w:rPr>
          <w:bCs/>
        </w:rPr>
        <w:t xml:space="preserve">declared </w:t>
      </w:r>
      <w:r w:rsidR="00DB3D98">
        <w:rPr>
          <w:bCs/>
        </w:rPr>
        <w:t xml:space="preserve">the </w:t>
      </w:r>
      <w:r w:rsidR="002C6285" w:rsidRPr="002C6285">
        <w:rPr>
          <w:bCs/>
        </w:rPr>
        <w:t xml:space="preserve">Governor of the </w:t>
      </w:r>
      <w:r w:rsidR="00DB3D98">
        <w:rPr>
          <w:bCs/>
        </w:rPr>
        <w:t>NB</w:t>
      </w:r>
      <w:r w:rsidR="00A25BA4">
        <w:rPr>
          <w:bCs/>
        </w:rPr>
        <w:t>R</w:t>
      </w:r>
      <w:r w:rsidR="00DB3D98">
        <w:rPr>
          <w:bCs/>
        </w:rPr>
        <w:t>NM</w:t>
      </w:r>
      <w:r w:rsidR="002C6285">
        <w:rPr>
          <w:bCs/>
        </w:rPr>
        <w:t>.</w:t>
      </w:r>
    </w:p>
    <w:p w14:paraId="5E4617FF" w14:textId="5F3E79E6" w:rsidR="00BA06D1" w:rsidRPr="00DC4E24" w:rsidRDefault="002C6285" w:rsidP="002E6E32">
      <w:pPr>
        <w:jc w:val="both"/>
        <w:rPr>
          <w:bCs/>
          <w:i/>
          <w:iCs/>
        </w:rPr>
      </w:pPr>
      <w:r w:rsidRPr="002C6285">
        <w:rPr>
          <w:bCs/>
        </w:rPr>
        <w:t xml:space="preserve">Giorgio Andreoli, Director </w:t>
      </w:r>
      <w:r w:rsidR="006A039B">
        <w:rPr>
          <w:bCs/>
        </w:rPr>
        <w:t>G</w:t>
      </w:r>
      <w:r w:rsidRPr="002C6285">
        <w:rPr>
          <w:bCs/>
        </w:rPr>
        <w:t>eneral of the EPC said:</w:t>
      </w:r>
      <w:r w:rsidR="00DB3CF9">
        <w:rPr>
          <w:bCs/>
        </w:rPr>
        <w:t xml:space="preserve"> </w:t>
      </w:r>
      <w:r w:rsidR="00DC4E24" w:rsidRPr="006158A9">
        <w:rPr>
          <w:bCs/>
          <w:i/>
          <w:iCs/>
        </w:rPr>
        <w:t>“The inclusion of the Republic of North Macedonia as part of the geographical scope of SEPA further contributes to the EPC’s mission to harmonise electronic payments and improve payments efficiency across Europe”.</w:t>
      </w:r>
    </w:p>
    <w:p w14:paraId="672D05D7" w14:textId="4DE769B7" w:rsidR="00791939" w:rsidRPr="00BE5194" w:rsidRDefault="00791939" w:rsidP="002E6E32">
      <w:pPr>
        <w:jc w:val="both"/>
        <w:rPr>
          <w:bCs/>
        </w:rPr>
      </w:pPr>
    </w:p>
    <w:tbl>
      <w:tblPr>
        <w:tblStyle w:val="TableGrid"/>
        <w:tblpPr w:leftFromText="181" w:rightFromText="181" w:tblpX="-1195" w:tblpY="6805"/>
        <w:tblOverlap w:val="never"/>
        <w:tblW w:w="11876" w:type="dxa"/>
        <w:shd w:val="clear" w:color="auto" w:fill="F4F5F9"/>
        <w:tblLook w:val="04A0" w:firstRow="1" w:lastRow="0" w:firstColumn="1" w:lastColumn="0" w:noHBand="0" w:noVBand="1"/>
      </w:tblPr>
      <w:tblGrid>
        <w:gridCol w:w="6037"/>
        <w:gridCol w:w="5839"/>
      </w:tblGrid>
      <w:tr w:rsidR="002B350C" w14:paraId="4AF9EC27" w14:textId="77777777" w:rsidTr="00AE3751">
        <w:trPr>
          <w:trHeight w:val="20"/>
        </w:trPr>
        <w:tc>
          <w:tcPr>
            <w:tcW w:w="6037" w:type="dxa"/>
            <w:shd w:val="clear" w:color="auto" w:fill="F4F5F9"/>
          </w:tcPr>
          <w:p w14:paraId="6A14ACEA" w14:textId="77777777" w:rsidR="00282A38" w:rsidRDefault="00282A38" w:rsidP="002E6E32">
            <w:pPr>
              <w:jc w:val="both"/>
              <w:rPr>
                <w:b/>
                <w:sz w:val="20"/>
                <w:szCs w:val="20"/>
                <w:lang w:eastAsia="en-GB"/>
              </w:rPr>
            </w:pPr>
            <w:r>
              <w:rPr>
                <w:b/>
                <w:noProof/>
                <w:lang w:val="en-US"/>
              </w:rPr>
              <w:lastRenderedPageBreak/>
              <w:drawing>
                <wp:inline distT="0" distB="0" distL="0" distR="0" wp14:anchorId="2C2A5ADE" wp14:editId="6FECB7E9">
                  <wp:extent cx="1682115" cy="812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transp.png"/>
                          <pic:cNvPicPr/>
                        </pic:nvPicPr>
                        <pic:blipFill>
                          <a:blip r:embed="rId10">
                            <a:extLst>
                              <a:ext uri="{28A0092B-C50C-407E-A947-70E740481C1C}">
                                <a14:useLocalDpi xmlns:a14="http://schemas.microsoft.com/office/drawing/2010/main" val="0"/>
                              </a:ext>
                            </a:extLst>
                          </a:blip>
                          <a:stretch>
                            <a:fillRect/>
                          </a:stretch>
                        </pic:blipFill>
                        <pic:spPr>
                          <a:xfrm>
                            <a:off x="0" y="0"/>
                            <a:ext cx="1682115" cy="812800"/>
                          </a:xfrm>
                          <a:prstGeom prst="rect">
                            <a:avLst/>
                          </a:prstGeom>
                        </pic:spPr>
                      </pic:pic>
                    </a:graphicData>
                  </a:graphic>
                </wp:inline>
              </w:drawing>
            </w:r>
          </w:p>
          <w:p w14:paraId="363A75C2" w14:textId="77777777" w:rsidR="002B350C" w:rsidRPr="00FD3728" w:rsidRDefault="002B350C" w:rsidP="002E6E32">
            <w:pPr>
              <w:ind w:left="720"/>
              <w:jc w:val="both"/>
              <w:rPr>
                <w:b/>
                <w:sz w:val="22"/>
                <w:szCs w:val="22"/>
                <w:lang w:val="fr-BE" w:eastAsia="en-GB"/>
              </w:rPr>
            </w:pPr>
            <w:r w:rsidRPr="00FD3728">
              <w:rPr>
                <w:b/>
                <w:sz w:val="22"/>
                <w:szCs w:val="22"/>
                <w:lang w:val="fr-BE" w:eastAsia="en-GB"/>
              </w:rPr>
              <w:t>Media contact:</w:t>
            </w:r>
          </w:p>
          <w:p w14:paraId="7BC46AC4" w14:textId="10B6D84D" w:rsidR="002B350C" w:rsidRPr="00FD3728" w:rsidRDefault="002B350C" w:rsidP="00FD3728">
            <w:pPr>
              <w:ind w:left="720"/>
              <w:rPr>
                <w:sz w:val="22"/>
                <w:szCs w:val="22"/>
                <w:lang w:val="fr-BE" w:eastAsia="en-GB"/>
              </w:rPr>
            </w:pPr>
            <w:r w:rsidRPr="00FD3728">
              <w:rPr>
                <w:sz w:val="22"/>
                <w:szCs w:val="22"/>
                <w:lang w:val="fr-BE" w:eastAsia="en-GB"/>
              </w:rPr>
              <w:t>Ruta</w:t>
            </w:r>
            <w:r w:rsidR="00FD3728">
              <w:rPr>
                <w:sz w:val="22"/>
                <w:szCs w:val="22"/>
                <w:lang w:val="fr-BE" w:eastAsia="en-GB"/>
              </w:rPr>
              <w:t xml:space="preserve"> </w:t>
            </w:r>
            <w:r w:rsidRPr="00FD3728">
              <w:rPr>
                <w:sz w:val="22"/>
                <w:szCs w:val="22"/>
                <w:lang w:val="fr-BE" w:eastAsia="en-GB"/>
              </w:rPr>
              <w:t xml:space="preserve">Murnikaite, </w:t>
            </w:r>
            <w:r w:rsidRPr="00FD3728">
              <w:rPr>
                <w:sz w:val="22"/>
                <w:szCs w:val="22"/>
                <w:lang w:val="fr-BE" w:eastAsia="en-GB"/>
              </w:rPr>
              <w:br/>
            </w:r>
            <w:r w:rsidRPr="00FD3728">
              <w:rPr>
                <w:color w:val="EF7C00" w:themeColor="accent1"/>
                <w:sz w:val="22"/>
                <w:szCs w:val="22"/>
                <w:lang w:val="fr-BE" w:eastAsia="en-GB"/>
              </w:rPr>
              <w:t>Communication Manager</w:t>
            </w:r>
          </w:p>
          <w:p w14:paraId="3940D27F" w14:textId="77777777" w:rsidR="002B350C" w:rsidRPr="001B5452" w:rsidRDefault="00121020" w:rsidP="002E6E32">
            <w:pPr>
              <w:spacing w:after="0"/>
              <w:ind w:left="720"/>
              <w:jc w:val="both"/>
              <w:rPr>
                <w:sz w:val="22"/>
                <w:szCs w:val="22"/>
                <w:lang w:val="fr-BE" w:eastAsia="en-GB"/>
              </w:rPr>
            </w:pPr>
            <w:hyperlink r:id="rId11" w:history="1">
              <w:r w:rsidRPr="001B5452">
                <w:rPr>
                  <w:rStyle w:val="Hyperlink"/>
                  <w:sz w:val="22"/>
                  <w:szCs w:val="22"/>
                  <w:lang w:val="fr-BE" w:eastAsia="en-GB"/>
                </w:rPr>
                <w:t>ruta.murnikaite@epc-cep.eu</w:t>
              </w:r>
            </w:hyperlink>
            <w:r w:rsidRPr="001B5452">
              <w:rPr>
                <w:sz w:val="22"/>
                <w:szCs w:val="22"/>
                <w:lang w:val="fr-BE" w:eastAsia="en-GB"/>
              </w:rPr>
              <w:t xml:space="preserve">, </w:t>
            </w:r>
            <w:r w:rsidR="002B350C" w:rsidRPr="001B5452">
              <w:rPr>
                <w:sz w:val="22"/>
                <w:szCs w:val="22"/>
                <w:lang w:val="fr-BE" w:eastAsia="en-GB"/>
              </w:rPr>
              <w:t xml:space="preserve">+32 2 739 16 </w:t>
            </w:r>
            <w:r w:rsidR="001D460E" w:rsidRPr="001B5452">
              <w:rPr>
                <w:sz w:val="22"/>
                <w:szCs w:val="22"/>
                <w:lang w:val="fr-BE" w:eastAsia="en-GB"/>
              </w:rPr>
              <w:t>9</w:t>
            </w:r>
            <w:r w:rsidR="002B350C" w:rsidRPr="001B5452">
              <w:rPr>
                <w:sz w:val="22"/>
                <w:szCs w:val="22"/>
                <w:lang w:val="fr-BE" w:eastAsia="en-GB"/>
              </w:rPr>
              <w:t>2</w:t>
            </w:r>
          </w:p>
          <w:p w14:paraId="06D81E31" w14:textId="77777777" w:rsidR="002B350C" w:rsidRPr="00282A38" w:rsidRDefault="002B350C" w:rsidP="002E6E32">
            <w:pPr>
              <w:spacing w:after="0"/>
              <w:ind w:left="720"/>
              <w:jc w:val="both"/>
              <w:rPr>
                <w:b/>
                <w:sz w:val="22"/>
                <w:szCs w:val="22"/>
                <w:lang w:eastAsia="en-GB"/>
              </w:rPr>
            </w:pPr>
            <w:r w:rsidRPr="00282A38">
              <w:rPr>
                <w:b/>
                <w:sz w:val="22"/>
                <w:szCs w:val="22"/>
                <w:lang w:eastAsia="en-GB"/>
              </w:rPr>
              <w:t>For further information please contact:</w:t>
            </w:r>
          </w:p>
          <w:p w14:paraId="2C0AFF4A" w14:textId="77777777" w:rsidR="002B350C" w:rsidRPr="00282A38" w:rsidRDefault="002B350C" w:rsidP="002E6E32">
            <w:pPr>
              <w:spacing w:after="0"/>
              <w:ind w:left="720"/>
              <w:jc w:val="both"/>
              <w:rPr>
                <w:sz w:val="22"/>
                <w:szCs w:val="22"/>
                <w:lang w:eastAsia="en-GB"/>
              </w:rPr>
            </w:pPr>
            <w:r w:rsidRPr="00282A38">
              <w:rPr>
                <w:sz w:val="22"/>
                <w:szCs w:val="22"/>
                <w:lang w:eastAsia="en-GB"/>
              </w:rPr>
              <w:t>secretariat@epc-cep.eu</w:t>
            </w:r>
            <w:r w:rsidR="00121020" w:rsidRPr="00282A38">
              <w:rPr>
                <w:sz w:val="22"/>
                <w:szCs w:val="22"/>
                <w:lang w:eastAsia="en-GB"/>
              </w:rPr>
              <w:t xml:space="preserve">, </w:t>
            </w:r>
            <w:r w:rsidRPr="00282A38">
              <w:rPr>
                <w:sz w:val="22"/>
                <w:szCs w:val="22"/>
                <w:lang w:eastAsia="en-GB"/>
              </w:rPr>
              <w:t>www.epc-cep.eu</w:t>
            </w:r>
          </w:p>
          <w:p w14:paraId="3CF08A48" w14:textId="77777777" w:rsidR="002B350C" w:rsidRPr="00282A38" w:rsidRDefault="00F36D0D" w:rsidP="002E6E32">
            <w:pPr>
              <w:spacing w:before="60" w:after="0"/>
              <w:ind w:left="720"/>
              <w:jc w:val="both"/>
              <w:rPr>
                <w:b/>
                <w:sz w:val="22"/>
                <w:szCs w:val="22"/>
                <w:lang w:eastAsia="en-GB"/>
              </w:rPr>
            </w:pPr>
            <w:r w:rsidRPr="00282A38">
              <w:rPr>
                <w:noProof/>
                <w:sz w:val="22"/>
                <w:szCs w:val="22"/>
                <w:lang w:val="en-US"/>
              </w:rPr>
              <w:drawing>
                <wp:anchor distT="0" distB="0" distL="114300" distR="114300" simplePos="0" relativeHeight="251658241" behindDoc="0" locked="0" layoutInCell="1" allowOverlap="1" wp14:anchorId="67584780" wp14:editId="40BBDC08">
                  <wp:simplePos x="0" y="0"/>
                  <wp:positionH relativeFrom="column">
                    <wp:posOffset>1261745</wp:posOffset>
                  </wp:positionH>
                  <wp:positionV relativeFrom="paragraph">
                    <wp:posOffset>215900</wp:posOffset>
                  </wp:positionV>
                  <wp:extent cx="333375" cy="336550"/>
                  <wp:effectExtent l="0" t="0" r="9525" b="6350"/>
                  <wp:wrapNone/>
                  <wp:docPr id="16" name="Picture 1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inkedi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3375" cy="336550"/>
                          </a:xfrm>
                          <a:prstGeom prst="rect">
                            <a:avLst/>
                          </a:prstGeom>
                        </pic:spPr>
                      </pic:pic>
                    </a:graphicData>
                  </a:graphic>
                </wp:anchor>
              </w:drawing>
            </w:r>
            <w:r w:rsidR="002B350C" w:rsidRPr="00282A38">
              <w:rPr>
                <w:b/>
                <w:sz w:val="22"/>
                <w:szCs w:val="22"/>
                <w:lang w:eastAsia="en-GB"/>
              </w:rPr>
              <w:t>Follow us</w:t>
            </w:r>
          </w:p>
          <w:p w14:paraId="72F5C22C" w14:textId="77777777" w:rsidR="002B350C" w:rsidRPr="00282A38" w:rsidRDefault="00F36D0D" w:rsidP="002E6E32">
            <w:pPr>
              <w:spacing w:after="0"/>
              <w:jc w:val="both"/>
              <w:rPr>
                <w:sz w:val="22"/>
                <w:szCs w:val="22"/>
                <w:lang w:eastAsia="en-GB"/>
              </w:rPr>
            </w:pPr>
            <w:r>
              <w:rPr>
                <w:noProof/>
                <w:sz w:val="22"/>
                <w:szCs w:val="22"/>
                <w:lang w:val="en-US"/>
              </w:rPr>
              <w:drawing>
                <wp:anchor distT="0" distB="0" distL="114300" distR="114300" simplePos="0" relativeHeight="251658240" behindDoc="1" locked="0" layoutInCell="1" allowOverlap="1" wp14:anchorId="01F4F348" wp14:editId="2D25B280">
                  <wp:simplePos x="0" y="0"/>
                  <wp:positionH relativeFrom="column">
                    <wp:posOffset>474345</wp:posOffset>
                  </wp:positionH>
                  <wp:positionV relativeFrom="paragraph">
                    <wp:posOffset>19685</wp:posOffset>
                  </wp:positionV>
                  <wp:extent cx="311150" cy="311150"/>
                  <wp:effectExtent l="0" t="0" r="0" b="0"/>
                  <wp:wrapTight wrapText="bothSides">
                    <wp:wrapPolygon edited="0">
                      <wp:start x="2645" y="0"/>
                      <wp:lineTo x="0" y="2645"/>
                      <wp:lineTo x="0" y="17192"/>
                      <wp:lineTo x="2645" y="19837"/>
                      <wp:lineTo x="17192" y="19837"/>
                      <wp:lineTo x="19837" y="17192"/>
                      <wp:lineTo x="19837" y="2645"/>
                      <wp:lineTo x="17192" y="0"/>
                      <wp:lineTo x="2645" y="0"/>
                    </wp:wrapPolygon>
                  </wp:wrapTight>
                  <wp:docPr id="1935052486" name="Picture 1" descr="A white x in a black circle&#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52486" name="Picture 1" descr="A white x in a black circle&#10;&#10;Description automatically generated">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Pr>
                <w:sz w:val="22"/>
                <w:szCs w:val="22"/>
                <w:lang w:eastAsia="en-GB"/>
              </w:rPr>
              <w:t xml:space="preserve"> </w:t>
            </w:r>
            <w:r w:rsidR="002B350C" w:rsidRPr="00282A38">
              <w:rPr>
                <w:noProof/>
                <w:sz w:val="22"/>
                <w:szCs w:val="22"/>
                <w:lang w:val="en-US"/>
              </w:rPr>
              <w:drawing>
                <wp:inline distT="0" distB="0" distL="0" distR="0" wp14:anchorId="1A3DABD3" wp14:editId="4AF58788">
                  <wp:extent cx="328295" cy="331788"/>
                  <wp:effectExtent l="0" t="0" r="1905" b="0"/>
                  <wp:docPr id="17" name="Picture 1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youtub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4603" cy="338163"/>
                          </a:xfrm>
                          <a:prstGeom prst="rect">
                            <a:avLst/>
                          </a:prstGeom>
                        </pic:spPr>
                      </pic:pic>
                    </a:graphicData>
                  </a:graphic>
                </wp:inline>
              </w:drawing>
            </w:r>
          </w:p>
          <w:p w14:paraId="5926FFE7" w14:textId="77777777" w:rsidR="002B350C" w:rsidRPr="00282A38" w:rsidRDefault="002B350C" w:rsidP="002E6E32">
            <w:pPr>
              <w:spacing w:before="60" w:after="0"/>
              <w:ind w:left="720"/>
              <w:jc w:val="both"/>
              <w:rPr>
                <w:b/>
                <w:sz w:val="22"/>
                <w:szCs w:val="22"/>
                <w:lang w:eastAsia="en-GB"/>
              </w:rPr>
            </w:pPr>
            <w:r w:rsidRPr="00282A38">
              <w:rPr>
                <w:b/>
                <w:sz w:val="22"/>
                <w:szCs w:val="22"/>
                <w:lang w:eastAsia="en-GB"/>
              </w:rPr>
              <w:t>Subscribe to our newsletter</w:t>
            </w:r>
          </w:p>
          <w:p w14:paraId="48342CBD" w14:textId="77777777" w:rsidR="002B350C" w:rsidRPr="00282A38" w:rsidRDefault="002B350C" w:rsidP="002E6E32">
            <w:pPr>
              <w:spacing w:after="0"/>
              <w:ind w:left="720"/>
              <w:jc w:val="both"/>
              <w:rPr>
                <w:sz w:val="22"/>
                <w:szCs w:val="22"/>
                <w:lang w:eastAsia="en-GB"/>
              </w:rPr>
            </w:pPr>
            <w:r w:rsidRPr="00282A38">
              <w:rPr>
                <w:noProof/>
                <w:sz w:val="22"/>
                <w:szCs w:val="22"/>
                <w:lang w:val="en-US"/>
              </w:rPr>
              <w:drawing>
                <wp:inline distT="0" distB="0" distL="0" distR="0" wp14:anchorId="485D49FE" wp14:editId="3DEC6A18">
                  <wp:extent cx="321698" cy="325120"/>
                  <wp:effectExtent l="0" t="0" r="8890" b="5080"/>
                  <wp:docPr id="18" name="Picture 1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s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0463" cy="333978"/>
                          </a:xfrm>
                          <a:prstGeom prst="rect">
                            <a:avLst/>
                          </a:prstGeom>
                        </pic:spPr>
                      </pic:pic>
                    </a:graphicData>
                  </a:graphic>
                </wp:inline>
              </w:drawing>
            </w:r>
          </w:p>
          <w:p w14:paraId="14A5371D" w14:textId="77777777" w:rsidR="002B350C" w:rsidRPr="00282A38" w:rsidRDefault="002B350C" w:rsidP="002E6E32">
            <w:pPr>
              <w:spacing w:before="60" w:after="0"/>
              <w:ind w:left="720"/>
              <w:jc w:val="both"/>
              <w:rPr>
                <w:b/>
                <w:sz w:val="22"/>
                <w:szCs w:val="22"/>
                <w:lang w:eastAsia="en-GB"/>
              </w:rPr>
            </w:pPr>
            <w:r w:rsidRPr="00282A38">
              <w:rPr>
                <w:b/>
                <w:sz w:val="22"/>
                <w:szCs w:val="22"/>
                <w:lang w:eastAsia="en-GB"/>
              </w:rPr>
              <w:t>Latest News and Insights</w:t>
            </w:r>
          </w:p>
          <w:p w14:paraId="21400EF5" w14:textId="77777777" w:rsidR="00121020" w:rsidRPr="00121020" w:rsidRDefault="002B350C" w:rsidP="002E6E32">
            <w:pPr>
              <w:ind w:left="720"/>
              <w:jc w:val="both"/>
              <w:rPr>
                <w:b/>
                <w:sz w:val="22"/>
                <w:szCs w:val="22"/>
                <w:lang w:eastAsia="en-GB"/>
              </w:rPr>
            </w:pPr>
            <w:r w:rsidRPr="00121020">
              <w:rPr>
                <w:b/>
                <w:noProof/>
                <w:sz w:val="22"/>
                <w:szCs w:val="22"/>
                <w:lang w:val="en-US"/>
              </w:rPr>
              <w:drawing>
                <wp:inline distT="0" distB="0" distL="0" distR="0" wp14:anchorId="31AEE5DF" wp14:editId="1DB57CF9">
                  <wp:extent cx="349344" cy="353060"/>
                  <wp:effectExtent l="0" t="0" r="6350" b="2540"/>
                  <wp:docPr id="19" name="Picture 19">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slett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4026" cy="357792"/>
                          </a:xfrm>
                          <a:prstGeom prst="rect">
                            <a:avLst/>
                          </a:prstGeom>
                        </pic:spPr>
                      </pic:pic>
                    </a:graphicData>
                  </a:graphic>
                </wp:inline>
              </w:drawing>
            </w:r>
          </w:p>
        </w:tc>
        <w:tc>
          <w:tcPr>
            <w:tcW w:w="5839" w:type="dxa"/>
            <w:shd w:val="clear" w:color="auto" w:fill="F4F5F9"/>
          </w:tcPr>
          <w:p w14:paraId="318A820E" w14:textId="77777777" w:rsidR="00C16AF0" w:rsidRDefault="00C16AF0" w:rsidP="002E6E32">
            <w:pPr>
              <w:spacing w:before="240"/>
              <w:jc w:val="both"/>
              <w:rPr>
                <w:b/>
                <w:bCs/>
                <w:color w:val="234571"/>
                <w:sz w:val="22"/>
                <w:szCs w:val="22"/>
                <w:lang w:eastAsia="en-GB"/>
              </w:rPr>
            </w:pPr>
            <w:r w:rsidRPr="00282A38">
              <w:rPr>
                <w:b/>
                <w:bCs/>
                <w:color w:val="234571"/>
                <w:sz w:val="22"/>
                <w:szCs w:val="22"/>
                <w:lang w:eastAsia="en-GB"/>
              </w:rPr>
              <w:t>About the European Payments Council</w:t>
            </w:r>
          </w:p>
          <w:p w14:paraId="29AC1DA4" w14:textId="77777777" w:rsidR="002B350C" w:rsidRPr="00121020" w:rsidRDefault="00C16AF0" w:rsidP="002E6E32">
            <w:pPr>
              <w:jc w:val="both"/>
              <w:rPr>
                <w:b/>
                <w:sz w:val="20"/>
                <w:szCs w:val="20"/>
              </w:rPr>
            </w:pPr>
            <w:r w:rsidRPr="008A095F">
              <w:rPr>
                <w:color w:val="234571"/>
                <w:sz w:val="22"/>
                <w:szCs w:val="22"/>
                <w:lang w:eastAsia="en-GB"/>
              </w:rPr>
              <w:t xml:space="preserve">The European Payments Council (EPC), an international not-for-profit association, representing payment service providers, supports and promotes European payments integration and development, notably the Single Euro Payments Area (SEPA). The EPC is committed to contribute to safe, reliable, efficient, convenient, economically balanced and sustainable payments, which meet the needs of payment service users and support the goals of competitiveness and innovation in an integrated European economy. It pursues this purpose through the development and management of pan- European payment and payment-related schemes and the formulation of positions and proposals on European payment issues in constant dialogue with other stakeholders and regulators at the European level and taking a strategic and holistic perspective. The primary task of the EPC is to </w:t>
            </w:r>
            <w:r>
              <w:rPr>
                <w:color w:val="234571"/>
                <w:sz w:val="22"/>
                <w:szCs w:val="22"/>
                <w:lang w:eastAsia="en-GB"/>
              </w:rPr>
              <w:t xml:space="preserve">manage </w:t>
            </w:r>
            <w:r w:rsidR="003606CA">
              <w:rPr>
                <w:color w:val="234571"/>
                <w:sz w:val="22"/>
                <w:szCs w:val="22"/>
                <w:lang w:eastAsia="en-GB"/>
              </w:rPr>
              <w:t>the</w:t>
            </w:r>
            <w:r>
              <w:rPr>
                <w:color w:val="234571"/>
                <w:sz w:val="22"/>
                <w:szCs w:val="22"/>
                <w:lang w:eastAsia="en-GB"/>
              </w:rPr>
              <w:t xml:space="preserve"> </w:t>
            </w:r>
            <w:r w:rsidRPr="008A095F">
              <w:rPr>
                <w:color w:val="234571"/>
                <w:sz w:val="22"/>
                <w:szCs w:val="22"/>
                <w:lang w:eastAsia="en-GB"/>
              </w:rPr>
              <w:t>SEPA Credit Transfer</w:t>
            </w:r>
            <w:r>
              <w:rPr>
                <w:color w:val="234571"/>
                <w:sz w:val="22"/>
                <w:szCs w:val="22"/>
                <w:lang w:eastAsia="en-GB"/>
              </w:rPr>
              <w:t>,</w:t>
            </w:r>
            <w:r w:rsidRPr="008A095F">
              <w:rPr>
                <w:color w:val="234571"/>
                <w:sz w:val="22"/>
                <w:szCs w:val="22"/>
                <w:lang w:eastAsia="en-GB"/>
              </w:rPr>
              <w:t xml:space="preserve"> </w:t>
            </w:r>
            <w:r>
              <w:rPr>
                <w:color w:val="234571"/>
                <w:sz w:val="22"/>
                <w:szCs w:val="22"/>
                <w:lang w:eastAsia="en-GB"/>
              </w:rPr>
              <w:t xml:space="preserve">SEPA </w:t>
            </w:r>
            <w:r w:rsidRPr="008A095F">
              <w:rPr>
                <w:color w:val="234571"/>
                <w:sz w:val="22"/>
                <w:szCs w:val="22"/>
                <w:lang w:eastAsia="en-GB"/>
              </w:rPr>
              <w:t>Direct Debit</w:t>
            </w:r>
            <w:r>
              <w:rPr>
                <w:color w:val="234571"/>
                <w:sz w:val="22"/>
                <w:szCs w:val="22"/>
                <w:lang w:eastAsia="en-GB"/>
              </w:rPr>
              <w:t>,  SEPA Proxy Lookup, SEPA Request-to-Pay</w:t>
            </w:r>
            <w:r w:rsidR="00700693">
              <w:rPr>
                <w:color w:val="234571"/>
                <w:sz w:val="22"/>
                <w:szCs w:val="22"/>
                <w:lang w:eastAsia="en-GB"/>
              </w:rPr>
              <w:t xml:space="preserve">, </w:t>
            </w:r>
            <w:r>
              <w:rPr>
                <w:color w:val="234571"/>
                <w:sz w:val="22"/>
                <w:szCs w:val="22"/>
                <w:lang w:eastAsia="en-GB"/>
              </w:rPr>
              <w:t>SEPA Payment Account Access</w:t>
            </w:r>
            <w:r w:rsidR="00700693">
              <w:rPr>
                <w:color w:val="234571"/>
                <w:sz w:val="22"/>
                <w:szCs w:val="22"/>
                <w:lang w:eastAsia="en-GB"/>
              </w:rPr>
              <w:t xml:space="preserve"> and O</w:t>
            </w:r>
            <w:r w:rsidR="00700693" w:rsidRPr="00700693">
              <w:rPr>
                <w:color w:val="234571"/>
                <w:sz w:val="22"/>
                <w:szCs w:val="22"/>
                <w:lang w:eastAsia="en-GB"/>
              </w:rPr>
              <w:t xml:space="preserve">ne-Leg Out Instant Credit Transfer </w:t>
            </w:r>
            <w:r w:rsidRPr="008A095F">
              <w:rPr>
                <w:color w:val="234571"/>
                <w:sz w:val="22"/>
                <w:szCs w:val="22"/>
                <w:lang w:eastAsia="en-GB"/>
              </w:rPr>
              <w:t>schemes</w:t>
            </w:r>
            <w:r>
              <w:rPr>
                <w:color w:val="234571"/>
                <w:sz w:val="22"/>
                <w:szCs w:val="22"/>
                <w:lang w:eastAsia="en-GB"/>
              </w:rPr>
              <w:t>,</w:t>
            </w:r>
            <w:r w:rsidRPr="008A095F">
              <w:rPr>
                <w:color w:val="234571"/>
                <w:sz w:val="22"/>
                <w:szCs w:val="22"/>
                <w:lang w:eastAsia="en-GB"/>
              </w:rPr>
              <w:t xml:space="preserve"> in close dialogue with all stakeholders. The EPC is also active in the fields of cards, mobile payments, including Person-to-Person, payment security</w:t>
            </w:r>
            <w:r>
              <w:rPr>
                <w:color w:val="234571"/>
                <w:sz w:val="22"/>
                <w:szCs w:val="22"/>
                <w:lang w:eastAsia="en-GB"/>
              </w:rPr>
              <w:t xml:space="preserve"> and cash</w:t>
            </w:r>
            <w:r w:rsidRPr="008A095F">
              <w:rPr>
                <w:color w:val="234571"/>
                <w:sz w:val="22"/>
                <w:szCs w:val="22"/>
                <w:lang w:eastAsia="en-GB"/>
              </w:rPr>
              <w:t>.</w:t>
            </w:r>
          </w:p>
        </w:tc>
      </w:tr>
    </w:tbl>
    <w:p w14:paraId="70E56A42" w14:textId="77777777" w:rsidR="007C0B7F" w:rsidRPr="007C0B7F" w:rsidRDefault="007C0B7F" w:rsidP="002E6E32">
      <w:pPr>
        <w:jc w:val="both"/>
      </w:pPr>
    </w:p>
    <w:sectPr w:rsidR="007C0B7F" w:rsidRPr="007C0B7F" w:rsidSect="00D85050">
      <w:headerReference w:type="default" r:id="rId21"/>
      <w:footerReference w:type="default" r:id="rId22"/>
      <w:headerReference w:type="first" r:id="rId23"/>
      <w:footerReference w:type="first" r:id="rId24"/>
      <w:pgSz w:w="11900" w:h="16840"/>
      <w:pgMar w:top="1985" w:right="1134" w:bottom="1440" w:left="1134" w:header="73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E6E9A" w14:textId="77777777" w:rsidR="003C54A1" w:rsidRDefault="003C54A1" w:rsidP="005D65B4">
      <w:r>
        <w:separator/>
      </w:r>
    </w:p>
  </w:endnote>
  <w:endnote w:type="continuationSeparator" w:id="0">
    <w:p w14:paraId="2DB54562" w14:textId="77777777" w:rsidR="003C54A1" w:rsidRDefault="003C54A1" w:rsidP="005D65B4">
      <w:r>
        <w:continuationSeparator/>
      </w:r>
    </w:p>
  </w:endnote>
  <w:endnote w:type="continuationNotice" w:id="1">
    <w:p w14:paraId="384945CF" w14:textId="77777777" w:rsidR="003C54A1" w:rsidRDefault="003C54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5036"/>
    </w:tblGrid>
    <w:tr w:rsidR="002B350C" w:rsidRPr="002770E7" w14:paraId="2D00831B" w14:textId="77777777" w:rsidTr="002B350C">
      <w:trPr>
        <w:trHeight w:val="398"/>
      </w:trPr>
      <w:tc>
        <w:tcPr>
          <w:tcW w:w="5036" w:type="dxa"/>
        </w:tcPr>
        <w:p w14:paraId="2C6E4C0F" w14:textId="77777777" w:rsidR="002B350C" w:rsidRPr="002770E7" w:rsidRDefault="002B350C" w:rsidP="006C6CBE">
          <w:pPr>
            <w:pStyle w:val="Footer"/>
            <w:rPr>
              <w:b/>
              <w:sz w:val="18"/>
              <w:szCs w:val="18"/>
            </w:rPr>
          </w:pPr>
          <w:r w:rsidRPr="004F63A6">
            <w:rPr>
              <w:b/>
              <w:sz w:val="18"/>
              <w:szCs w:val="18"/>
            </w:rPr>
            <w:t>www.epc-cep.eu</w:t>
          </w:r>
        </w:p>
      </w:tc>
      <w:tc>
        <w:tcPr>
          <w:tcW w:w="5036" w:type="dxa"/>
        </w:tcPr>
        <w:p w14:paraId="1E6893F3" w14:textId="38F8BF48" w:rsidR="002B350C" w:rsidRPr="002770E7" w:rsidRDefault="002B350C" w:rsidP="006C6CBE">
          <w:pPr>
            <w:pStyle w:val="Footer"/>
            <w:jc w:val="right"/>
            <w:rPr>
              <w:b/>
              <w:sz w:val="18"/>
              <w:szCs w:val="18"/>
            </w:rPr>
          </w:pPr>
          <w:r w:rsidRPr="002770E7">
            <w:rPr>
              <w:b/>
              <w:sz w:val="18"/>
              <w:szCs w:val="18"/>
            </w:rPr>
            <w:fldChar w:fldCharType="begin"/>
          </w:r>
          <w:r w:rsidRPr="002770E7">
            <w:rPr>
              <w:b/>
              <w:sz w:val="18"/>
              <w:szCs w:val="18"/>
            </w:rPr>
            <w:instrText xml:space="preserve"> PAGE </w:instrText>
          </w:r>
          <w:r w:rsidRPr="002770E7">
            <w:rPr>
              <w:b/>
              <w:sz w:val="18"/>
              <w:szCs w:val="18"/>
            </w:rPr>
            <w:fldChar w:fldCharType="separate"/>
          </w:r>
          <w:r w:rsidR="008D311B">
            <w:rPr>
              <w:b/>
              <w:noProof/>
              <w:sz w:val="18"/>
              <w:szCs w:val="18"/>
            </w:rPr>
            <w:t>2</w:t>
          </w:r>
          <w:r w:rsidRPr="002770E7">
            <w:rPr>
              <w:b/>
              <w:sz w:val="18"/>
              <w:szCs w:val="18"/>
            </w:rPr>
            <w:fldChar w:fldCharType="end"/>
          </w:r>
          <w:r w:rsidRPr="002770E7">
            <w:rPr>
              <w:b/>
              <w:sz w:val="18"/>
              <w:szCs w:val="18"/>
            </w:rPr>
            <w:t xml:space="preserve"> </w:t>
          </w:r>
          <w:r>
            <w:rPr>
              <w:b/>
              <w:sz w:val="18"/>
              <w:szCs w:val="18"/>
            </w:rPr>
            <w:t>/</w:t>
          </w:r>
          <w:r w:rsidRPr="002770E7">
            <w:rPr>
              <w:b/>
              <w:sz w:val="18"/>
              <w:szCs w:val="18"/>
            </w:rPr>
            <w:t xml:space="preserve"> </w:t>
          </w:r>
          <w:r w:rsidRPr="002770E7">
            <w:rPr>
              <w:b/>
              <w:sz w:val="18"/>
              <w:szCs w:val="18"/>
            </w:rPr>
            <w:fldChar w:fldCharType="begin"/>
          </w:r>
          <w:r w:rsidRPr="002770E7">
            <w:rPr>
              <w:b/>
              <w:sz w:val="18"/>
              <w:szCs w:val="18"/>
            </w:rPr>
            <w:instrText xml:space="preserve"> NUMPAGES </w:instrText>
          </w:r>
          <w:r w:rsidRPr="002770E7">
            <w:rPr>
              <w:b/>
              <w:sz w:val="18"/>
              <w:szCs w:val="18"/>
            </w:rPr>
            <w:fldChar w:fldCharType="separate"/>
          </w:r>
          <w:r w:rsidR="008D311B">
            <w:rPr>
              <w:b/>
              <w:noProof/>
              <w:sz w:val="18"/>
              <w:szCs w:val="18"/>
            </w:rPr>
            <w:t>2</w:t>
          </w:r>
          <w:r w:rsidRPr="002770E7">
            <w:rPr>
              <w:b/>
              <w:sz w:val="18"/>
              <w:szCs w:val="18"/>
            </w:rPr>
            <w:fldChar w:fldCharType="end"/>
          </w:r>
        </w:p>
      </w:tc>
    </w:tr>
  </w:tbl>
  <w:p w14:paraId="07B274A2" w14:textId="77777777" w:rsidR="002B350C" w:rsidRDefault="002B35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5141"/>
    </w:tblGrid>
    <w:tr w:rsidR="00F2745B" w:rsidRPr="002770E7" w14:paraId="41E4A0A2" w14:textId="77777777" w:rsidTr="004F63A6">
      <w:trPr>
        <w:trHeight w:val="382"/>
      </w:trPr>
      <w:tc>
        <w:tcPr>
          <w:tcW w:w="5141" w:type="dxa"/>
        </w:tcPr>
        <w:p w14:paraId="0D9F9659" w14:textId="77777777" w:rsidR="00F2745B" w:rsidRPr="002770E7" w:rsidRDefault="004F63A6" w:rsidP="003C48E6">
          <w:pPr>
            <w:pStyle w:val="Footer"/>
            <w:rPr>
              <w:b/>
              <w:sz w:val="18"/>
              <w:szCs w:val="18"/>
            </w:rPr>
          </w:pPr>
          <w:r w:rsidRPr="004F63A6">
            <w:rPr>
              <w:b/>
              <w:sz w:val="18"/>
              <w:szCs w:val="18"/>
            </w:rPr>
            <w:t>www.epc-cep.eu</w:t>
          </w:r>
        </w:p>
      </w:tc>
      <w:tc>
        <w:tcPr>
          <w:tcW w:w="5141" w:type="dxa"/>
        </w:tcPr>
        <w:p w14:paraId="3E579B11" w14:textId="14ABF6F2" w:rsidR="00F2745B" w:rsidRPr="002770E7" w:rsidRDefault="00F2745B" w:rsidP="003C48E6">
          <w:pPr>
            <w:pStyle w:val="Footer"/>
            <w:jc w:val="right"/>
            <w:rPr>
              <w:b/>
              <w:sz w:val="18"/>
              <w:szCs w:val="18"/>
            </w:rPr>
          </w:pPr>
          <w:r w:rsidRPr="002770E7">
            <w:rPr>
              <w:b/>
              <w:sz w:val="18"/>
              <w:szCs w:val="18"/>
            </w:rPr>
            <w:fldChar w:fldCharType="begin"/>
          </w:r>
          <w:r w:rsidRPr="002770E7">
            <w:rPr>
              <w:b/>
              <w:sz w:val="18"/>
              <w:szCs w:val="18"/>
            </w:rPr>
            <w:instrText xml:space="preserve"> PAGE </w:instrText>
          </w:r>
          <w:r w:rsidRPr="002770E7">
            <w:rPr>
              <w:b/>
              <w:sz w:val="18"/>
              <w:szCs w:val="18"/>
            </w:rPr>
            <w:fldChar w:fldCharType="separate"/>
          </w:r>
          <w:r w:rsidR="007267AC">
            <w:rPr>
              <w:b/>
              <w:noProof/>
              <w:sz w:val="18"/>
              <w:szCs w:val="18"/>
            </w:rPr>
            <w:t>1</w:t>
          </w:r>
          <w:r w:rsidRPr="002770E7">
            <w:rPr>
              <w:b/>
              <w:sz w:val="18"/>
              <w:szCs w:val="18"/>
            </w:rPr>
            <w:fldChar w:fldCharType="end"/>
          </w:r>
          <w:r w:rsidRPr="002770E7">
            <w:rPr>
              <w:b/>
              <w:sz w:val="18"/>
              <w:szCs w:val="18"/>
            </w:rPr>
            <w:t xml:space="preserve"> </w:t>
          </w:r>
          <w:r>
            <w:rPr>
              <w:b/>
              <w:sz w:val="18"/>
              <w:szCs w:val="18"/>
            </w:rPr>
            <w:t>/</w:t>
          </w:r>
          <w:r w:rsidRPr="002770E7">
            <w:rPr>
              <w:b/>
              <w:sz w:val="18"/>
              <w:szCs w:val="18"/>
            </w:rPr>
            <w:t xml:space="preserve"> </w:t>
          </w:r>
          <w:r w:rsidRPr="002770E7">
            <w:rPr>
              <w:b/>
              <w:sz w:val="18"/>
              <w:szCs w:val="18"/>
            </w:rPr>
            <w:fldChar w:fldCharType="begin"/>
          </w:r>
          <w:r w:rsidRPr="002770E7">
            <w:rPr>
              <w:b/>
              <w:sz w:val="18"/>
              <w:szCs w:val="18"/>
            </w:rPr>
            <w:instrText xml:space="preserve"> NUMPAGES </w:instrText>
          </w:r>
          <w:r w:rsidRPr="002770E7">
            <w:rPr>
              <w:b/>
              <w:sz w:val="18"/>
              <w:szCs w:val="18"/>
            </w:rPr>
            <w:fldChar w:fldCharType="separate"/>
          </w:r>
          <w:r w:rsidR="007267AC">
            <w:rPr>
              <w:b/>
              <w:noProof/>
              <w:sz w:val="18"/>
              <w:szCs w:val="18"/>
            </w:rPr>
            <w:t>2</w:t>
          </w:r>
          <w:r w:rsidRPr="002770E7">
            <w:rPr>
              <w:b/>
              <w:sz w:val="18"/>
              <w:szCs w:val="18"/>
            </w:rPr>
            <w:fldChar w:fldCharType="end"/>
          </w:r>
        </w:p>
      </w:tc>
    </w:tr>
  </w:tbl>
  <w:p w14:paraId="7AF34F4C" w14:textId="77777777" w:rsidR="00F2745B" w:rsidRDefault="00F27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7C7F" w14:textId="77777777" w:rsidR="003C54A1" w:rsidRDefault="003C54A1" w:rsidP="005D65B4">
      <w:r>
        <w:separator/>
      </w:r>
    </w:p>
  </w:footnote>
  <w:footnote w:type="continuationSeparator" w:id="0">
    <w:p w14:paraId="31F94DE9" w14:textId="77777777" w:rsidR="003C54A1" w:rsidRDefault="003C54A1" w:rsidP="005D65B4">
      <w:r>
        <w:continuationSeparator/>
      </w:r>
    </w:p>
  </w:footnote>
  <w:footnote w:type="continuationNotice" w:id="1">
    <w:p w14:paraId="4F3F3A32" w14:textId="77777777" w:rsidR="003C54A1" w:rsidRDefault="003C54A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BE68" w14:textId="171D0573" w:rsidR="001A5316" w:rsidRDefault="004F63A6" w:rsidP="001A5316">
    <w:pPr>
      <w:rPr>
        <w:b/>
        <w:noProof/>
      </w:rPr>
    </w:pPr>
    <w:r>
      <w:rPr>
        <w:noProof/>
        <w:lang w:val="en-US"/>
      </w:rPr>
      <w:drawing>
        <wp:anchor distT="0" distB="0" distL="114300" distR="114300" simplePos="0" relativeHeight="251658244" behindDoc="1" locked="0" layoutInCell="1" allowOverlap="1" wp14:anchorId="687EBE77" wp14:editId="615DCD0B">
          <wp:simplePos x="0" y="0"/>
          <wp:positionH relativeFrom="column">
            <wp:posOffset>5248910</wp:posOffset>
          </wp:positionH>
          <wp:positionV relativeFrom="paragraph">
            <wp:posOffset>-127635</wp:posOffset>
          </wp:positionV>
          <wp:extent cx="870585" cy="463263"/>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riangle.png"/>
                  <pic:cNvPicPr/>
                </pic:nvPicPr>
                <pic:blipFill>
                  <a:blip r:embed="rId1">
                    <a:extLst>
                      <a:ext uri="{28A0092B-C50C-407E-A947-70E740481C1C}">
                        <a14:useLocalDpi xmlns:a14="http://schemas.microsoft.com/office/drawing/2010/main" val="0"/>
                      </a:ext>
                    </a:extLst>
                  </a:blip>
                  <a:stretch>
                    <a:fillRect/>
                  </a:stretch>
                </pic:blipFill>
                <pic:spPr>
                  <a:xfrm>
                    <a:off x="0" y="0"/>
                    <a:ext cx="870585" cy="463263"/>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2" behindDoc="1" locked="0" layoutInCell="1" allowOverlap="1" wp14:anchorId="66901BD3" wp14:editId="41885F05">
          <wp:simplePos x="0" y="0"/>
          <wp:positionH relativeFrom="column">
            <wp:posOffset>-913130</wp:posOffset>
          </wp:positionH>
          <wp:positionV relativeFrom="paragraph">
            <wp:posOffset>-467995</wp:posOffset>
          </wp:positionV>
          <wp:extent cx="7877175" cy="1188720"/>
          <wp:effectExtent l="0" t="0" r="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 EPayCouncil_Templates.jpg"/>
                  <pic:cNvPicPr/>
                </pic:nvPicPr>
                <pic:blipFill rotWithShape="1">
                  <a:blip r:embed="rId2">
                    <a:extLst>
                      <a:ext uri="{28A0092B-C50C-407E-A947-70E740481C1C}">
                        <a14:useLocalDpi xmlns:a14="http://schemas.microsoft.com/office/drawing/2010/main" val="0"/>
                      </a:ext>
                    </a:extLst>
                  </a:blip>
                  <a:srcRect b="88879"/>
                  <a:stretch/>
                </pic:blipFill>
                <pic:spPr bwMode="auto">
                  <a:xfrm>
                    <a:off x="0" y="0"/>
                    <a:ext cx="7877175" cy="1188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06D1" w:rsidRPr="00BA06D1">
      <w:rPr>
        <w:b/>
        <w:noProof/>
      </w:rPr>
      <w:t>Press Release</w:t>
    </w:r>
  </w:p>
  <w:p w14:paraId="7DEA7145" w14:textId="70C2FE73" w:rsidR="001A5316" w:rsidRPr="002267F7" w:rsidRDefault="001A5316" w:rsidP="001A5316">
    <w:pPr>
      <w:rPr>
        <w:b/>
        <w:noProof/>
      </w:rPr>
    </w:pPr>
    <w:r w:rsidRPr="001A5316">
      <w:rPr>
        <w:noProof/>
      </w:rPr>
      <w:t>Brussels</w:t>
    </w:r>
    <w:r w:rsidR="004F63A6">
      <w:rPr>
        <w:noProof/>
      </w:rPr>
      <w:t xml:space="preserve"> </w:t>
    </w:r>
    <w:r w:rsidR="002267F7" w:rsidRPr="002267F7">
      <w:rPr>
        <w:b/>
        <w:noProof/>
      </w:rPr>
      <w:t>6 March 2025</w:t>
    </w:r>
  </w:p>
  <w:p w14:paraId="3729179F" w14:textId="77777777" w:rsidR="00BA06D1" w:rsidRPr="001A5316" w:rsidRDefault="00BA06D1" w:rsidP="001A5316">
    <w:pP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AB6E9" w14:textId="7E3F05FA" w:rsidR="007C0B7F" w:rsidRDefault="00E808CA" w:rsidP="00793C08">
    <w:pPr>
      <w:spacing w:after="1000"/>
    </w:pPr>
    <w:r>
      <w:rPr>
        <w:noProof/>
        <w:lang w:val="en-US"/>
      </w:rPr>
      <w:drawing>
        <wp:anchor distT="0" distB="0" distL="114300" distR="114300" simplePos="0" relativeHeight="251658240" behindDoc="1" locked="0" layoutInCell="1" allowOverlap="1" wp14:anchorId="762570BA" wp14:editId="21DAB2F5">
          <wp:simplePos x="0" y="0"/>
          <wp:positionH relativeFrom="column">
            <wp:posOffset>-853439</wp:posOffset>
          </wp:positionH>
          <wp:positionV relativeFrom="paragraph">
            <wp:posOffset>-467995</wp:posOffset>
          </wp:positionV>
          <wp:extent cx="7708900" cy="2295525"/>
          <wp:effectExtent l="0" t="0" r="635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 EPayCouncil_Templates.jpg"/>
                  <pic:cNvPicPr/>
                </pic:nvPicPr>
                <pic:blipFill rotWithShape="1">
                  <a:blip r:embed="rId1">
                    <a:extLst>
                      <a:ext uri="{28A0092B-C50C-407E-A947-70E740481C1C}">
                        <a14:useLocalDpi xmlns:a14="http://schemas.microsoft.com/office/drawing/2010/main" val="0"/>
                      </a:ext>
                    </a:extLst>
                  </a:blip>
                  <a:srcRect b="88879"/>
                  <a:stretch/>
                </pic:blipFill>
                <pic:spPr bwMode="auto">
                  <a:xfrm>
                    <a:off x="0" y="0"/>
                    <a:ext cx="7708900" cy="2295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5050">
      <w:rPr>
        <w:noProof/>
        <w:lang w:val="en-US"/>
      </w:rPr>
      <mc:AlternateContent>
        <mc:Choice Requires="wps">
          <w:drawing>
            <wp:anchor distT="0" distB="0" distL="114300" distR="114300" simplePos="0" relativeHeight="251658246" behindDoc="0" locked="0" layoutInCell="1" allowOverlap="1" wp14:anchorId="27B215D7" wp14:editId="2BA53529">
              <wp:simplePos x="0" y="0"/>
              <wp:positionH relativeFrom="column">
                <wp:posOffset>4111625</wp:posOffset>
              </wp:positionH>
              <wp:positionV relativeFrom="paragraph">
                <wp:posOffset>497205</wp:posOffset>
              </wp:positionV>
              <wp:extent cx="2349500" cy="1092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349500" cy="1092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D42143" w14:textId="77777777" w:rsidR="004F61BC" w:rsidRPr="00793C08" w:rsidRDefault="004F61BC" w:rsidP="004F61BC">
                          <w:pPr>
                            <w:rPr>
                              <w:b/>
                              <w:sz w:val="20"/>
                              <w:szCs w:val="20"/>
                              <w:lang w:val="fr-BE"/>
                            </w:rPr>
                          </w:pPr>
                          <w:proofErr w:type="spellStart"/>
                          <w:r w:rsidRPr="00793C08">
                            <w:rPr>
                              <w:b/>
                              <w:sz w:val="20"/>
                              <w:szCs w:val="20"/>
                              <w:lang w:val="fr-BE"/>
                            </w:rPr>
                            <w:t>European</w:t>
                          </w:r>
                          <w:proofErr w:type="spellEnd"/>
                          <w:r w:rsidRPr="00793C08">
                            <w:rPr>
                              <w:b/>
                              <w:sz w:val="20"/>
                              <w:szCs w:val="20"/>
                              <w:lang w:val="fr-BE"/>
                            </w:rPr>
                            <w:t xml:space="preserve"> Payments Council AISBL</w:t>
                          </w:r>
                        </w:p>
                        <w:p w14:paraId="210D06DF" w14:textId="77777777" w:rsidR="004F61BC" w:rsidRPr="004F63A6" w:rsidRDefault="004F61BC" w:rsidP="00AE3751">
                          <w:pPr>
                            <w:spacing w:after="0"/>
                            <w:rPr>
                              <w:sz w:val="20"/>
                              <w:szCs w:val="20"/>
                              <w:lang w:val="fr-FR"/>
                            </w:rPr>
                          </w:pPr>
                          <w:r w:rsidRPr="004F63A6">
                            <w:rPr>
                              <w:sz w:val="20"/>
                              <w:szCs w:val="20"/>
                              <w:lang w:val="fr-FR"/>
                            </w:rPr>
                            <w:t>Cours Saint-Michel, 30 - B - 1040 Brussels</w:t>
                          </w:r>
                        </w:p>
                        <w:p w14:paraId="0BCD527C" w14:textId="77777777" w:rsidR="004F61BC" w:rsidRPr="004F63A6" w:rsidRDefault="004F61BC" w:rsidP="00AE3751">
                          <w:pPr>
                            <w:spacing w:after="0"/>
                            <w:rPr>
                              <w:sz w:val="20"/>
                              <w:szCs w:val="20"/>
                              <w:lang w:val="fr-FR"/>
                            </w:rPr>
                          </w:pPr>
                          <w:r w:rsidRPr="004F63A6">
                            <w:rPr>
                              <w:sz w:val="20"/>
                              <w:szCs w:val="20"/>
                              <w:lang w:val="fr-FR"/>
                            </w:rPr>
                            <w:t>T +32 2 733 35 33</w:t>
                          </w:r>
                        </w:p>
                        <w:p w14:paraId="5EE21EBC" w14:textId="77777777" w:rsidR="004F61BC" w:rsidRPr="004F63A6" w:rsidRDefault="004F61BC" w:rsidP="00AE3751">
                          <w:pPr>
                            <w:spacing w:after="0"/>
                            <w:rPr>
                              <w:sz w:val="20"/>
                              <w:szCs w:val="20"/>
                              <w:lang w:val="fr-FR"/>
                            </w:rPr>
                          </w:pPr>
                          <w:r w:rsidRPr="004F63A6">
                            <w:rPr>
                              <w:sz w:val="20"/>
                              <w:szCs w:val="20"/>
                              <w:lang w:val="fr-FR"/>
                            </w:rPr>
                            <w:t>Entreprise N°0873.268.927</w:t>
                          </w:r>
                        </w:p>
                        <w:p w14:paraId="23C1FB46" w14:textId="77777777" w:rsidR="004F61BC" w:rsidRPr="004F63A6" w:rsidRDefault="004F61BC" w:rsidP="00AE3751">
                          <w:pPr>
                            <w:spacing w:after="0"/>
                            <w:rPr>
                              <w:sz w:val="20"/>
                              <w:szCs w:val="20"/>
                              <w:lang w:val="fr-FR"/>
                            </w:rPr>
                          </w:pPr>
                          <w:r w:rsidRPr="004F63A6">
                            <w:rPr>
                              <w:sz w:val="20"/>
                              <w:szCs w:val="20"/>
                              <w:lang w:val="fr-FR"/>
                            </w:rPr>
                            <w:t>secretariat@epc-cep.eu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B215D7" id="_x0000_t202" coordsize="21600,21600" o:spt="202" path="m,l,21600r21600,l21600,xe">
              <v:stroke joinstyle="miter"/>
              <v:path gradientshapeok="t" o:connecttype="rect"/>
            </v:shapetype>
            <v:shape id="Text Box 10" o:spid="_x0000_s1026" type="#_x0000_t202" style="position:absolute;margin-left:323.75pt;margin-top:39.15pt;width:185pt;height:8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U0dQIAAFwFAAAOAAAAZHJzL2Uyb0RvYy54bWysVE1vEzEQvSPxHyzf6SYhBRp1U4VWRUhV&#10;W9Ginh2v3azweoztZDf8+j57N2koXIq47I5n3jzPp0/PusawjfKhJlvy8dGIM2UlVbV9LPn3+8t3&#10;nzgLUdhKGLKq5FsV+Nn87ZvT1s3UhFZkKuUZSGyYta7kqxjdrCiCXKlGhCNyysKoyTci4ugfi8qL&#10;FuyNKSaj0YeiJV85T1KFAO1Fb+TzzK+1kvFG66AiMyVHbDF/ff4u07eYn4rZoxduVcshDPEPUTSi&#10;trh0T3UhomBrX/9B1dTSUyAdjyQ1BWldS5VzQDbj0Yts7lbCqZwLihPcvkzh/9HK682tZ3WF3qE8&#10;VjTo0b3qIvtMHYMK9WldmAF25wCMHfTA7vQBypR2p32T/kiIwQ6q7b66iU1COXk/PTkewSRhG49O&#10;Juhf4ime3Z0P8YuihiWh5B7ty1UVm6sQe+gOkm6zdFkbk1to7G8KcPYalWdg8E6Z9BFnKW6NSl7G&#10;flMaNciBJ0WePnVuPNsIzI2QUtmYc868QCeUxt2vcRzwybWP6jXOe498M9m4d25qSz5X6UXY1Y9d&#10;yLrHo9QHeScxdstu6PCSqi0a7KlfkeDkZY0mXIkQb4XHTqBx2PN4g4821JacBomzFflff9MnPEYV&#10;Vs5a7FjJw8+18Ioz89ViiE/G0yloYz5Mjz9OcPCHluWhxa6bc0I7xnhRnMxiwkezE7Wn5gHPwSLd&#10;CpOwEneXPO7E89hvPp4TqRaLDMIaOhGv7J2TiTqVN43YffcgvBvmMGKEr2m3jWL2Yhx7bPK0tFhH&#10;0nWe1VTgvqpD4bHCedqH5ya9EYfnjHp+FOdPAAAA//8DAFBLAwQUAAYACAAAACEAEOH4tt8AAAAL&#10;AQAADwAAAGRycy9kb3ducmV2LnhtbEyPTU/DMAyG70j7D5GRuLFkH91GqTshEFcQ20DiljVeW61x&#10;qiZby78nPcHR9qPXz5ttB9uIK3W+dowwmyoQxIUzNZcIh/3r/QaED5qNbhwTwg952OaTm0ynxvX8&#10;QdddKEUMYZ9qhCqENpXSFxVZ7aeuJY63k+usDnHsSmk63cdw28i5Uitpdc3xQ6Vbeq6oOO8uFuHz&#10;7fT9tVTv5YtN2t4NSrJ9kIh3t8PTI4hAQ/iDYdSP6pBHp6O7sPGiQVgt10lEEdabBYgRULNxc0SY&#10;J2oBMs/k/w75LwAAAP//AwBQSwECLQAUAAYACAAAACEAtoM4kv4AAADhAQAAEwAAAAAAAAAAAAAA&#10;AAAAAAAAW0NvbnRlbnRfVHlwZXNdLnhtbFBLAQItABQABgAIAAAAIQA4/SH/1gAAAJQBAAALAAAA&#10;AAAAAAAAAAAAAC8BAABfcmVscy8ucmVsc1BLAQItABQABgAIAAAAIQCfkIU0dQIAAFwFAAAOAAAA&#10;AAAAAAAAAAAAAC4CAABkcnMvZTJvRG9jLnhtbFBLAQItABQABgAIAAAAIQAQ4fi23wAAAAsBAAAP&#10;AAAAAAAAAAAAAAAAAM8EAABkcnMvZG93bnJldi54bWxQSwUGAAAAAAQABADzAAAA2wUAAAAA&#10;" filled="f" stroked="f">
              <v:textbox>
                <w:txbxContent>
                  <w:p w14:paraId="6CD42143" w14:textId="77777777" w:rsidR="004F61BC" w:rsidRPr="00793C08" w:rsidRDefault="004F61BC" w:rsidP="004F61BC">
                    <w:pPr>
                      <w:rPr>
                        <w:b/>
                        <w:sz w:val="20"/>
                        <w:szCs w:val="20"/>
                        <w:lang w:val="fr-BE"/>
                      </w:rPr>
                    </w:pPr>
                    <w:r w:rsidRPr="00793C08">
                      <w:rPr>
                        <w:b/>
                        <w:sz w:val="20"/>
                        <w:szCs w:val="20"/>
                        <w:lang w:val="fr-BE"/>
                      </w:rPr>
                      <w:t>European Payments Council AISBL</w:t>
                    </w:r>
                  </w:p>
                  <w:p w14:paraId="210D06DF" w14:textId="77777777" w:rsidR="004F61BC" w:rsidRPr="004F63A6" w:rsidRDefault="004F61BC" w:rsidP="00AE3751">
                    <w:pPr>
                      <w:spacing w:after="0"/>
                      <w:rPr>
                        <w:sz w:val="20"/>
                        <w:szCs w:val="20"/>
                        <w:lang w:val="fr-FR"/>
                      </w:rPr>
                    </w:pPr>
                    <w:r w:rsidRPr="004F63A6">
                      <w:rPr>
                        <w:sz w:val="20"/>
                        <w:szCs w:val="20"/>
                        <w:lang w:val="fr-FR"/>
                      </w:rPr>
                      <w:t>Cours Saint-Michel, 30 - B - 1040 Brussels</w:t>
                    </w:r>
                  </w:p>
                  <w:p w14:paraId="0BCD527C" w14:textId="77777777" w:rsidR="004F61BC" w:rsidRPr="004F63A6" w:rsidRDefault="004F61BC" w:rsidP="00AE3751">
                    <w:pPr>
                      <w:spacing w:after="0"/>
                      <w:rPr>
                        <w:sz w:val="20"/>
                        <w:szCs w:val="20"/>
                        <w:lang w:val="fr-FR"/>
                      </w:rPr>
                    </w:pPr>
                    <w:r w:rsidRPr="004F63A6">
                      <w:rPr>
                        <w:sz w:val="20"/>
                        <w:szCs w:val="20"/>
                        <w:lang w:val="fr-FR"/>
                      </w:rPr>
                      <w:t>T +32 2 733 35 33</w:t>
                    </w:r>
                  </w:p>
                  <w:p w14:paraId="5EE21EBC" w14:textId="77777777" w:rsidR="004F61BC" w:rsidRPr="004F63A6" w:rsidRDefault="004F61BC" w:rsidP="00AE3751">
                    <w:pPr>
                      <w:spacing w:after="0"/>
                      <w:rPr>
                        <w:sz w:val="20"/>
                        <w:szCs w:val="20"/>
                        <w:lang w:val="fr-FR"/>
                      </w:rPr>
                    </w:pPr>
                    <w:r w:rsidRPr="004F63A6">
                      <w:rPr>
                        <w:sz w:val="20"/>
                        <w:szCs w:val="20"/>
                        <w:lang w:val="fr-FR"/>
                      </w:rPr>
                      <w:t>Entreprise N°0873.268.927</w:t>
                    </w:r>
                  </w:p>
                  <w:p w14:paraId="23C1FB46" w14:textId="77777777" w:rsidR="004F61BC" w:rsidRPr="004F63A6" w:rsidRDefault="004F61BC" w:rsidP="00AE3751">
                    <w:pPr>
                      <w:spacing w:after="0"/>
                      <w:rPr>
                        <w:sz w:val="20"/>
                        <w:szCs w:val="20"/>
                        <w:lang w:val="fr-FR"/>
                      </w:rPr>
                    </w:pPr>
                    <w:r w:rsidRPr="004F63A6">
                      <w:rPr>
                        <w:sz w:val="20"/>
                        <w:szCs w:val="20"/>
                        <w:lang w:val="fr-FR"/>
                      </w:rPr>
                      <w:t>secretariat@epc-cep.eu</w:t>
                    </w:r>
                  </w:p>
                </w:txbxContent>
              </v:textbox>
            </v:shape>
          </w:pict>
        </mc:Fallback>
      </mc:AlternateContent>
    </w:r>
    <w:r w:rsidR="00023C9E">
      <w:rPr>
        <w:noProof/>
        <w:lang w:val="en-US"/>
      </w:rPr>
      <w:drawing>
        <wp:anchor distT="0" distB="0" distL="114300" distR="114300" simplePos="0" relativeHeight="251658241" behindDoc="1" locked="0" layoutInCell="1" allowOverlap="1" wp14:anchorId="001E7D19" wp14:editId="2CB1C7B4">
          <wp:simplePos x="0" y="0"/>
          <wp:positionH relativeFrom="column">
            <wp:posOffset>3536950</wp:posOffset>
          </wp:positionH>
          <wp:positionV relativeFrom="paragraph">
            <wp:posOffset>-635</wp:posOffset>
          </wp:positionV>
          <wp:extent cx="3048000" cy="167640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mbol.png"/>
                  <pic:cNvPicPr/>
                </pic:nvPicPr>
                <pic:blipFill>
                  <a:blip r:embed="rId2">
                    <a:extLst>
                      <a:ext uri="{28A0092B-C50C-407E-A947-70E740481C1C}">
                        <a14:useLocalDpi xmlns:a14="http://schemas.microsoft.com/office/drawing/2010/main" val="0"/>
                      </a:ext>
                    </a:extLst>
                  </a:blip>
                  <a:stretch>
                    <a:fillRect/>
                  </a:stretch>
                </pic:blipFill>
                <pic:spPr>
                  <a:xfrm>
                    <a:off x="0" y="0"/>
                    <a:ext cx="3048000" cy="1676400"/>
                  </a:xfrm>
                  <a:prstGeom prst="rect">
                    <a:avLst/>
                  </a:prstGeom>
                </pic:spPr>
              </pic:pic>
            </a:graphicData>
          </a:graphic>
          <wp14:sizeRelH relativeFrom="page">
            <wp14:pctWidth>0</wp14:pctWidth>
          </wp14:sizeRelH>
          <wp14:sizeRelV relativeFrom="page">
            <wp14:pctHeight>0</wp14:pctHeight>
          </wp14:sizeRelV>
        </wp:anchor>
      </w:drawing>
    </w:r>
    <w:r w:rsidR="004F63A6">
      <w:rPr>
        <w:noProof/>
        <w:lang w:val="en-US"/>
      </w:rPr>
      <w:drawing>
        <wp:anchor distT="0" distB="0" distL="114300" distR="114300" simplePos="0" relativeHeight="251658245" behindDoc="1" locked="0" layoutInCell="1" allowOverlap="1" wp14:anchorId="3B4710E5" wp14:editId="305FF483">
          <wp:simplePos x="0" y="0"/>
          <wp:positionH relativeFrom="column">
            <wp:posOffset>3797935</wp:posOffset>
          </wp:positionH>
          <wp:positionV relativeFrom="paragraph">
            <wp:posOffset>-122555</wp:posOffset>
          </wp:positionV>
          <wp:extent cx="1918970" cy="678180"/>
          <wp:effectExtent l="0" t="0" r="0"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png"/>
                  <pic:cNvPicPr/>
                </pic:nvPicPr>
                <pic:blipFill>
                  <a:blip r:embed="rId3">
                    <a:extLst>
                      <a:ext uri="{28A0092B-C50C-407E-A947-70E740481C1C}">
                        <a14:useLocalDpi xmlns:a14="http://schemas.microsoft.com/office/drawing/2010/main" val="0"/>
                      </a:ext>
                    </a:extLst>
                  </a:blip>
                  <a:stretch>
                    <a:fillRect/>
                  </a:stretch>
                </pic:blipFill>
                <pic:spPr>
                  <a:xfrm>
                    <a:off x="0" y="0"/>
                    <a:ext cx="1918970" cy="678180"/>
                  </a:xfrm>
                  <a:prstGeom prst="rect">
                    <a:avLst/>
                  </a:prstGeom>
                </pic:spPr>
              </pic:pic>
            </a:graphicData>
          </a:graphic>
          <wp14:sizeRelH relativeFrom="page">
            <wp14:pctWidth>0</wp14:pctWidth>
          </wp14:sizeRelH>
          <wp14:sizeRelV relativeFrom="page">
            <wp14:pctHeight>0</wp14:pctHeight>
          </wp14:sizeRelV>
        </wp:anchor>
      </w:drawing>
    </w:r>
    <w:r w:rsidR="001A5316">
      <w:rPr>
        <w:noProof/>
        <w:lang w:val="en-US"/>
      </w:rPr>
      <mc:AlternateContent>
        <mc:Choice Requires="wps">
          <w:drawing>
            <wp:anchor distT="0" distB="0" distL="114300" distR="114300" simplePos="0" relativeHeight="251658243" behindDoc="0" locked="0" layoutInCell="1" allowOverlap="1" wp14:anchorId="6C341ED4" wp14:editId="268F91AB">
              <wp:simplePos x="0" y="0"/>
              <wp:positionH relativeFrom="column">
                <wp:posOffset>-81280</wp:posOffset>
              </wp:positionH>
              <wp:positionV relativeFrom="paragraph">
                <wp:posOffset>-213995</wp:posOffset>
              </wp:positionV>
              <wp:extent cx="2152015" cy="66294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2152015" cy="662940"/>
                      </a:xfrm>
                      <a:prstGeom prst="rect">
                        <a:avLst/>
                      </a:prstGeom>
                      <a:noFill/>
                      <a:ln>
                        <a:noFill/>
                      </a:ln>
                      <a:effectLst/>
                    </wps:spPr>
                    <wps:txbx>
                      <w:txbxContent>
                        <w:p w14:paraId="75195944" w14:textId="77777777" w:rsidR="007C0B7F" w:rsidRPr="00F518DB" w:rsidRDefault="001A5316" w:rsidP="007C0B7F">
                          <w:pPr>
                            <w:pStyle w:val="Heading1"/>
                            <w:rPr>
                              <w:rFonts w:eastAsiaTheme="minorHAnsi"/>
                            </w:rPr>
                          </w:pPr>
                          <w:r>
                            <w:t>Press Release</w:t>
                          </w:r>
                        </w:p>
                        <w:p w14:paraId="6882793E" w14:textId="77777777" w:rsidR="007C0B7F" w:rsidRDefault="007C0B7F" w:rsidP="007C0B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41ED4" id="Text Box 5" o:spid="_x0000_s1027" type="#_x0000_t202" style="position:absolute;margin-left:-6.4pt;margin-top:-16.85pt;width:169.45pt;height:52.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PpKwIAAF0EAAAOAAAAZHJzL2Uyb0RvYy54bWysVF1v2jAUfZ+0/2D5fQQQsDUiVKwV06Sq&#10;rQRTn43jkEiJr2cbEvbrd+wApd2epr2Y+5Xre865Zn7bNTU7KOsq0hkfDYacKS0pr/Qu4z82q09f&#10;OHNe6FzUpFXGj8rx28XHD/PWpGpMJdW5sgxNtEtbk/HSe5MmiZOlaoQbkFEayYJsIzxcu0tyK1p0&#10;b+pkPBzOkpZsbixJ5Ryi932SL2L/olDSPxWFU57VGcdsPp42nttwJou5SHdWmLKSpzHEP0zRiErj&#10;0kure+EF29vqj1ZNJS05KvxAUpNQUVRSRQxAMxq+Q7MuhVERC8hx5kKT+39t5ePh2bIqz/iUMy0a&#10;SLRRnWdfqWPTwE5rXIqitUGZ7xCGyue4QzCA7grbhF/AYciD5+OF29BMIjgeTYEQl0jkZrPxzSSS&#10;n7x+bazz3xQ1LBgZt9AuUioOD85jEpSeS8JlmlZVXUf9av0mgMI+ouICnL4OQPqBg+W7bRdhX8Bs&#10;KT8Co6V+R5yRqwqDPAjnn4XFUgAWFt0/4ShqajNOJ4uzkuyvv8VDPbRClrMWS5Zx93MvrOKs/q6h&#10;4s1oAhqYj85k+nkMx15nttcZvW/uCHs8wpMyMpqh3tdns7DUvOA9LMOtSAktcXfG/dm88/3q4z1J&#10;tVzGIuyhEf5Br40MrQOTgeZN9yKsOWnhoeIjnddRpO8k6Wt7DZZ7T0UV9Qo896xCvOBgh6OMp/cW&#10;Hsm1H6te/xUWvwEAAP//AwBQSwMEFAAGAAgAAAAhAJUW5MXfAAAACgEAAA8AAABkcnMvZG93bnJl&#10;di54bWxMj8FOwzAQRO9I/IO1SNxaOwk0JcSpEIgrqAUqcXPjbRIRr6PYbcLfs5zgtqMdzbwpN7Pr&#10;xRnH0HnSkCwVCKTa244aDe9vz4s1iBANWdN7Qg3fGGBTXV6UprB+oi2ed7ERHEKhMBraGIdCylC3&#10;6ExY+gGJf0c/OhNZjo20o5k43PUyVWolnemIG1oz4GOL9dfu5DR8vBw/9zfqtXlyt8PkZyXJ3Umt&#10;r6/mh3sQEef4Z4ZffEaHipkO/kQ2iF7DIkkZPfKRZTkIdmTpKgFx0JCrHGRVyv8Tqh8AAAD//wMA&#10;UEsBAi0AFAAGAAgAAAAhALaDOJL+AAAA4QEAABMAAAAAAAAAAAAAAAAAAAAAAFtDb250ZW50X1R5&#10;cGVzXS54bWxQSwECLQAUAAYACAAAACEAOP0h/9YAAACUAQAACwAAAAAAAAAAAAAAAAAvAQAAX3Jl&#10;bHMvLnJlbHNQSwECLQAUAAYACAAAACEApQ2z6SsCAABdBAAADgAAAAAAAAAAAAAAAAAuAgAAZHJz&#10;L2Uyb0RvYy54bWxQSwECLQAUAAYACAAAACEAlRbkxd8AAAAKAQAADwAAAAAAAAAAAAAAAACFBAAA&#10;ZHJzL2Rvd25yZXYueG1sUEsFBgAAAAAEAAQA8wAAAJEFAAAAAA==&#10;" filled="f" stroked="f">
              <v:textbox>
                <w:txbxContent>
                  <w:p w14:paraId="75195944" w14:textId="77777777" w:rsidR="007C0B7F" w:rsidRPr="00F518DB" w:rsidRDefault="001A5316" w:rsidP="007C0B7F">
                    <w:pPr>
                      <w:pStyle w:val="Heading1"/>
                      <w:rPr>
                        <w:rFonts w:eastAsiaTheme="minorHAnsi"/>
                      </w:rPr>
                    </w:pPr>
                    <w:r>
                      <w:t>Press Release</w:t>
                    </w:r>
                  </w:p>
                  <w:p w14:paraId="6882793E" w14:textId="77777777" w:rsidR="007C0B7F" w:rsidRDefault="007C0B7F" w:rsidP="007C0B7F"/>
                </w:txbxContent>
              </v:textbox>
              <w10:wrap type="square"/>
            </v:shape>
          </w:pict>
        </mc:Fallback>
      </mc:AlternateContent>
    </w:r>
  </w:p>
  <w:p w14:paraId="11F7D526" w14:textId="77777777" w:rsidR="001A5316" w:rsidRPr="001A5316" w:rsidRDefault="001A5316" w:rsidP="00AE3751">
    <w:pPr>
      <w:spacing w:after="0"/>
      <w:rPr>
        <w:b/>
        <w:color w:val="234571"/>
        <w:szCs w:val="18"/>
        <w:lang w:eastAsia="en-GB"/>
      </w:rPr>
    </w:pPr>
    <w:r w:rsidRPr="001A5316">
      <w:rPr>
        <w:b/>
      </w:rPr>
      <w:t>Brussels</w:t>
    </w:r>
  </w:p>
  <w:p w14:paraId="6BB8D7BD" w14:textId="0F0EC684" w:rsidR="007C0B7F" w:rsidRDefault="00E808CA" w:rsidP="00AE3751">
    <w:pPr>
      <w:pStyle w:val="Header"/>
      <w:spacing w:after="0"/>
      <w:rPr>
        <w:b/>
        <w:noProof/>
        <w:color w:val="224571" w:themeColor="text2"/>
      </w:rPr>
    </w:pPr>
    <w:r>
      <w:rPr>
        <w:b/>
        <w:noProof/>
        <w:color w:val="224571" w:themeColor="text2"/>
      </w:rPr>
      <w:t xml:space="preserve">6 March 2025 </w:t>
    </w:r>
  </w:p>
  <w:p w14:paraId="2D394BB2" w14:textId="77777777" w:rsidR="00D85050" w:rsidRPr="00D85050" w:rsidRDefault="00D85050" w:rsidP="00D85050">
    <w:pPr>
      <w:pStyle w:val="Header"/>
      <w:spacing w:before="200" w:after="320"/>
      <w:rPr>
        <w:color w:val="224571" w:themeColor="text2"/>
        <w:sz w:val="4"/>
        <w:szCs w:val="4"/>
      </w:rPr>
    </w:pPr>
  </w:p>
  <w:sdt>
    <w:sdtPr>
      <w:rPr>
        <w:b/>
        <w:bCs/>
        <w:color w:val="4F7865" w:themeColor="accent5"/>
      </w:rPr>
      <w:alias w:val="Document type"/>
      <w:tag w:val="Document type"/>
      <w:id w:val="1633906959"/>
      <w15:color w:val="4F7865"/>
      <w:comboBox>
        <w:listItem w:displayText="Public" w:value="Public"/>
        <w:listItem w:displayText="Internal use" w:value="Internal use"/>
        <w:listItem w:displayText="Confidential" w:value="Confidential"/>
        <w:listItem w:displayText="Strictest confidence" w:value="Strictest confidence"/>
      </w:comboBox>
    </w:sdtPr>
    <w:sdtEndPr/>
    <w:sdtContent>
      <w:p w14:paraId="0A19C402" w14:textId="77777777" w:rsidR="007C0B7F" w:rsidRPr="00D85050" w:rsidRDefault="00D85050">
        <w:pPr>
          <w:pStyle w:val="Header"/>
          <w:rPr>
            <w:b/>
            <w:bCs/>
            <w:color w:val="4F7865" w:themeColor="accent5"/>
          </w:rPr>
        </w:pPr>
        <w:r w:rsidRPr="00D85050">
          <w:rPr>
            <w:b/>
            <w:bCs/>
            <w:color w:val="4F7865" w:themeColor="accent5"/>
          </w:rPr>
          <w:t>Public</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1006C"/>
    <w:multiLevelType w:val="hybridMultilevel"/>
    <w:tmpl w:val="B8B2009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82E5E29"/>
    <w:multiLevelType w:val="multilevel"/>
    <w:tmpl w:val="E3C81EA4"/>
    <w:lvl w:ilvl="0">
      <w:start w:val="1"/>
      <w:numFmt w:val="decimal"/>
      <w:pStyle w:val="HEADINGBULLET"/>
      <w:suff w:val="space"/>
      <w:lvlText w:val="%1"/>
      <w:lvlJc w:val="left"/>
      <w:pPr>
        <w:ind w:left="567" w:hanging="567"/>
      </w:pPr>
      <w:rPr>
        <w:rFonts w:hint="default"/>
        <w:color w:val="EF7C00" w:themeColor="accent1"/>
      </w:rPr>
    </w:lvl>
    <w:lvl w:ilvl="1">
      <w:start w:val="1"/>
      <w:numFmt w:val="decimal"/>
      <w:suff w:val="space"/>
      <w:lvlText w:val="%1.%2"/>
      <w:lvlJc w:val="left"/>
      <w:pPr>
        <w:ind w:left="576" w:hanging="576"/>
      </w:pPr>
      <w:rPr>
        <w:rFonts w:hint="default"/>
        <w:color w:val="EF7C00" w:themeColor="accent1"/>
      </w:rPr>
    </w:lvl>
    <w:lvl w:ilvl="2">
      <w:start w:val="1"/>
      <w:numFmt w:val="decimal"/>
      <w:suff w:val="space"/>
      <w:lvlText w:val="%1.%2.%3"/>
      <w:lvlJc w:val="left"/>
      <w:pPr>
        <w:ind w:left="720" w:hanging="720"/>
      </w:pPr>
      <w:rPr>
        <w:rFonts w:hint="default"/>
        <w:color w:val="EF7C00" w:themeColor="accent1"/>
      </w:rPr>
    </w:lvl>
    <w:lvl w:ilvl="3">
      <w:start w:val="1"/>
      <w:numFmt w:val="decimal"/>
      <w:suff w:val="space"/>
      <w:lvlText w:val="%1.%2.%3.%4"/>
      <w:lvlJc w:val="left"/>
      <w:pPr>
        <w:ind w:left="864" w:hanging="864"/>
      </w:pPr>
      <w:rPr>
        <w:rFonts w:hint="default"/>
        <w:color w:val="EF7C00" w:themeColor="accent1"/>
      </w:rPr>
    </w:lvl>
    <w:lvl w:ilvl="4">
      <w:start w:val="1"/>
      <w:numFmt w:val="decimal"/>
      <w:suff w:val="space"/>
      <w:lvlText w:val="%1.%2.%3.%4.%5"/>
      <w:lvlJc w:val="left"/>
      <w:pPr>
        <w:ind w:left="1008" w:hanging="1008"/>
      </w:pPr>
      <w:rPr>
        <w:rFonts w:hint="default"/>
        <w:color w:val="EF7C00" w:themeColor="accent1"/>
      </w:rPr>
    </w:lvl>
    <w:lvl w:ilvl="5">
      <w:start w:val="1"/>
      <w:numFmt w:val="decimal"/>
      <w:suff w:val="space"/>
      <w:lvlText w:val="%1.%2.%3.%4.%5.%6"/>
      <w:lvlJc w:val="left"/>
      <w:pPr>
        <w:ind w:left="1152" w:hanging="1152"/>
      </w:pPr>
      <w:rPr>
        <w:rFonts w:hint="default"/>
        <w:color w:val="EF7C00" w:themeColor="accent1"/>
      </w:rPr>
    </w:lvl>
    <w:lvl w:ilvl="6">
      <w:start w:val="1"/>
      <w:numFmt w:val="decimal"/>
      <w:suff w:val="space"/>
      <w:lvlText w:val="%1.%2.%3.%4.%5.%6.%7"/>
      <w:lvlJc w:val="left"/>
      <w:pPr>
        <w:ind w:left="1296" w:hanging="1296"/>
      </w:pPr>
      <w:rPr>
        <w:rFonts w:hint="default"/>
        <w:color w:val="EF7C00" w:themeColor="accent1"/>
      </w:rPr>
    </w:lvl>
    <w:lvl w:ilvl="7">
      <w:start w:val="1"/>
      <w:numFmt w:val="decimal"/>
      <w:suff w:val="space"/>
      <w:lvlText w:val="%1.%2.%3.%4.%5.%6.%7.%8"/>
      <w:lvlJc w:val="left"/>
      <w:pPr>
        <w:ind w:left="1440" w:hanging="1440"/>
      </w:pPr>
      <w:rPr>
        <w:rFonts w:hint="default"/>
        <w:color w:val="FDCE6D" w:themeColor="accent2"/>
      </w:rPr>
    </w:lvl>
    <w:lvl w:ilvl="8">
      <w:start w:val="1"/>
      <w:numFmt w:val="decimal"/>
      <w:suff w:val="space"/>
      <w:lvlText w:val="%1.%2.%3.%4.%5.%6.%7.%8.%9"/>
      <w:lvlJc w:val="left"/>
      <w:pPr>
        <w:ind w:left="1584" w:hanging="1584"/>
      </w:pPr>
      <w:rPr>
        <w:rFonts w:hint="default"/>
        <w:color w:val="FDCE6D" w:themeColor="accent2"/>
      </w:rPr>
    </w:lvl>
  </w:abstractNum>
  <w:abstractNum w:abstractNumId="2" w15:restartNumberingAfterBreak="0">
    <w:nsid w:val="18F81989"/>
    <w:multiLevelType w:val="multilevel"/>
    <w:tmpl w:val="E2D83D62"/>
    <w:lvl w:ilvl="0">
      <w:start w:val="1"/>
      <w:numFmt w:val="bullet"/>
      <w:lvlText w:val=""/>
      <w:lvlJc w:val="left"/>
      <w:pPr>
        <w:ind w:left="587"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526B20"/>
    <w:multiLevelType w:val="multilevel"/>
    <w:tmpl w:val="3A6A5A1A"/>
    <w:lvl w:ilvl="0">
      <w:start w:val="1"/>
      <w:numFmt w:val="bullet"/>
      <w:lvlText w:val=""/>
      <w:lvlJc w:val="left"/>
      <w:pPr>
        <w:ind w:left="2160" w:hanging="360"/>
      </w:pPr>
      <w:rPr>
        <w:rFonts w:ascii="Symbol" w:hAnsi="Symbol" w:hint="default"/>
        <w:color w:val="578ACC" w:themeColor="text2" w:themeTint="9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E27417"/>
    <w:multiLevelType w:val="multilevel"/>
    <w:tmpl w:val="3E06C050"/>
    <w:styleLink w:val="NumberedList"/>
    <w:lvl w:ilvl="0">
      <w:start w:val="1"/>
      <w:numFmt w:val="decimal"/>
      <w:lvlText w:val="%1."/>
      <w:lvlJc w:val="left"/>
      <w:pPr>
        <w:ind w:left="1080" w:hanging="720"/>
      </w:pPr>
      <w:rPr>
        <w:rFonts w:ascii="Verdana" w:hAnsi="Verdana" w:hint="default"/>
        <w:sz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C172F86"/>
    <w:multiLevelType w:val="hybridMultilevel"/>
    <w:tmpl w:val="4734FFC0"/>
    <w:lvl w:ilvl="0" w:tplc="16E46DC6">
      <w:start w:val="1"/>
      <w:numFmt w:val="decimal"/>
      <w:pStyle w:val="NumberList"/>
      <w:lvlText w:val="%1."/>
      <w:lvlJc w:val="left"/>
      <w:pPr>
        <w:ind w:left="720" w:hanging="360"/>
      </w:pPr>
    </w:lvl>
    <w:lvl w:ilvl="1" w:tplc="08090019">
      <w:start w:val="1"/>
      <w:numFmt w:val="lowerLetter"/>
      <w:lvlText w:val="%2."/>
      <w:lvlJc w:val="left"/>
      <w:pPr>
        <w:ind w:left="1440" w:hanging="360"/>
      </w:pPr>
    </w:lvl>
    <w:lvl w:ilvl="2" w:tplc="6B7A9470">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B521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EA7061D"/>
    <w:multiLevelType w:val="hybridMultilevel"/>
    <w:tmpl w:val="455A1C3A"/>
    <w:lvl w:ilvl="0" w:tplc="850E064E">
      <w:start w:val="1"/>
      <w:numFmt w:val="bullet"/>
      <w:pStyle w:val="BulletPoint"/>
      <w:lvlText w:val=""/>
      <w:lvlJc w:val="left"/>
      <w:pPr>
        <w:ind w:left="360" w:hanging="360"/>
      </w:pPr>
      <w:rPr>
        <w:rFonts w:ascii="Symbol" w:hAnsi="Symbol" w:hint="default"/>
        <w:color w:val="224571"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C72C36"/>
    <w:multiLevelType w:val="multilevel"/>
    <w:tmpl w:val="BF329444"/>
    <w:lvl w:ilvl="0">
      <w:start w:val="1"/>
      <w:numFmt w:val="bullet"/>
      <w:lvlText w:val=""/>
      <w:lvlJc w:val="left"/>
      <w:pPr>
        <w:ind w:left="587"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5606B7B"/>
    <w:multiLevelType w:val="multilevel"/>
    <w:tmpl w:val="1D0464E0"/>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E190575"/>
    <w:multiLevelType w:val="hybridMultilevel"/>
    <w:tmpl w:val="3B7A4218"/>
    <w:lvl w:ilvl="0" w:tplc="F1B6788E">
      <w:start w:val="1"/>
      <w:numFmt w:val="bullet"/>
      <w:lvlText w:val=""/>
      <w:lvlJc w:val="left"/>
      <w:pPr>
        <w:ind w:left="2160" w:hanging="360"/>
      </w:pPr>
      <w:rPr>
        <w:rFonts w:ascii="Symbol" w:hAnsi="Symbol" w:hint="default"/>
        <w:color w:val="578ACC" w:themeColor="text2" w:themeTint="99"/>
      </w:rPr>
    </w:lvl>
    <w:lvl w:ilvl="1" w:tplc="6D4C67CC">
      <w:start w:val="1"/>
      <w:numFmt w:val="bullet"/>
      <w:lvlText w:val="o"/>
      <w:lvlJc w:val="left"/>
      <w:pPr>
        <w:ind w:left="1440" w:hanging="360"/>
      </w:pPr>
      <w:rPr>
        <w:rFonts w:ascii="Courier New" w:hAnsi="Courier New" w:cs="Courier New" w:hint="default"/>
      </w:rPr>
    </w:lvl>
    <w:lvl w:ilvl="2" w:tplc="5AE4766C">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A13D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72A60AE"/>
    <w:multiLevelType w:val="multilevel"/>
    <w:tmpl w:val="84089E02"/>
    <w:lvl w:ilvl="0">
      <w:start w:val="1"/>
      <w:numFmt w:val="decimal"/>
      <w:lvlText w:val="%1"/>
      <w:lvlJc w:val="left"/>
      <w:pPr>
        <w:ind w:left="567" w:hanging="567"/>
      </w:pPr>
      <w:rPr>
        <w:rFonts w:hint="default"/>
        <w:color w:val="009CB4"/>
      </w:rPr>
    </w:lvl>
    <w:lvl w:ilvl="1">
      <w:start w:val="1"/>
      <w:numFmt w:val="decimal"/>
      <w:lvlText w:val="%1.%2"/>
      <w:lvlJc w:val="left"/>
      <w:pPr>
        <w:ind w:left="576" w:hanging="576"/>
      </w:pPr>
      <w:rPr>
        <w:rFonts w:hint="default"/>
        <w:color w:val="009CB4"/>
      </w:rPr>
    </w:lvl>
    <w:lvl w:ilvl="2">
      <w:start w:val="1"/>
      <w:numFmt w:val="decimal"/>
      <w:lvlText w:val="%1.%2.%3"/>
      <w:lvlJc w:val="left"/>
      <w:pPr>
        <w:ind w:left="720" w:hanging="720"/>
      </w:pPr>
      <w:rPr>
        <w:rFonts w:hint="default"/>
        <w:color w:val="009CB4"/>
      </w:rPr>
    </w:lvl>
    <w:lvl w:ilvl="3">
      <w:start w:val="1"/>
      <w:numFmt w:val="decimal"/>
      <w:lvlText w:val="%1.%2.%3.%4"/>
      <w:lvlJc w:val="left"/>
      <w:pPr>
        <w:ind w:left="864" w:hanging="864"/>
      </w:pPr>
      <w:rPr>
        <w:rFonts w:hint="default"/>
        <w:color w:val="009CB4"/>
      </w:rPr>
    </w:lvl>
    <w:lvl w:ilvl="4">
      <w:start w:val="1"/>
      <w:numFmt w:val="decimal"/>
      <w:lvlText w:val="%1.%2.%3.%4.%5"/>
      <w:lvlJc w:val="left"/>
      <w:pPr>
        <w:ind w:left="1008" w:hanging="1008"/>
      </w:pPr>
      <w:rPr>
        <w:rFonts w:hint="default"/>
        <w:color w:val="009CB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487277DB"/>
    <w:multiLevelType w:val="multilevel"/>
    <w:tmpl w:val="97F88D5A"/>
    <w:lvl w:ilvl="0">
      <w:start w:val="1"/>
      <w:numFmt w:val="bullet"/>
      <w:lvlText w:val=""/>
      <w:lvlJc w:val="left"/>
      <w:pPr>
        <w:ind w:left="1440" w:hanging="360"/>
      </w:pPr>
      <w:rPr>
        <w:rFonts w:ascii="Symbol" w:hAnsi="Symbol" w:hint="default"/>
        <w:color w:val="578ACC" w:themeColor="text2" w:themeTint="9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E3A399E"/>
    <w:multiLevelType w:val="hybridMultilevel"/>
    <w:tmpl w:val="2E5ABCAE"/>
    <w:lvl w:ilvl="0" w:tplc="680E38BA">
      <w:start w:val="1"/>
      <w:numFmt w:val="bullet"/>
      <w:pStyle w:val="Secondlevel"/>
      <w:lvlText w:val=""/>
      <w:lvlJc w:val="left"/>
      <w:pPr>
        <w:ind w:left="2160" w:hanging="360"/>
      </w:pPr>
      <w:rPr>
        <w:rFonts w:ascii="Symbol" w:hAnsi="Symbol" w:hint="default"/>
        <w:color w:val="578ACC" w:themeColor="text2" w:themeTint="99"/>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F4B3ADF"/>
    <w:multiLevelType w:val="multilevel"/>
    <w:tmpl w:val="FA24CFE4"/>
    <w:lvl w:ilvl="0">
      <w:start w:val="1"/>
      <w:numFmt w:val="decimal"/>
      <w:lvlText w:val="%1."/>
      <w:lvlJc w:val="left"/>
      <w:pPr>
        <w:tabs>
          <w:tab w:val="num" w:pos="770"/>
        </w:tabs>
        <w:ind w:left="770" w:hanging="782"/>
      </w:pPr>
      <w:rPr>
        <w:rFonts w:hint="default"/>
        <w:b w:val="0"/>
        <w:i w:val="0"/>
        <w:sz w:val="18"/>
      </w:rPr>
    </w:lvl>
    <w:lvl w:ilvl="1">
      <w:start w:val="1"/>
      <w:numFmt w:val="decimal"/>
      <w:lvlText w:val="%1.%2"/>
      <w:lvlJc w:val="left"/>
      <w:pPr>
        <w:tabs>
          <w:tab w:val="num" w:pos="770"/>
        </w:tabs>
        <w:ind w:left="770" w:hanging="782"/>
      </w:pPr>
      <w:rPr>
        <w:rFonts w:hint="default"/>
        <w:b w:val="0"/>
        <w:i w:val="0"/>
        <w:sz w:val="18"/>
        <w:szCs w:val="18"/>
      </w:rPr>
    </w:lvl>
    <w:lvl w:ilvl="2">
      <w:start w:val="1"/>
      <w:numFmt w:val="lowerLetter"/>
      <w:pStyle w:val="H3Ashurst"/>
      <w:lvlText w:val="(%3)"/>
      <w:lvlJc w:val="left"/>
      <w:pPr>
        <w:tabs>
          <w:tab w:val="num" w:pos="1394"/>
        </w:tabs>
        <w:ind w:left="1394" w:hanging="62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lowerRoman"/>
      <w:pStyle w:val="H4Ashurst"/>
      <w:lvlText w:val="(%4)"/>
      <w:lvlJc w:val="left"/>
      <w:pPr>
        <w:tabs>
          <w:tab w:val="num" w:pos="2030"/>
        </w:tabs>
        <w:ind w:left="2030" w:hanging="624"/>
      </w:pPr>
      <w:rPr>
        <w:rFonts w:hint="default"/>
        <w:b w:val="0"/>
        <w:i w:val="0"/>
        <w:color w:val="0099A7"/>
        <w:sz w:val="18"/>
        <w:szCs w:val="18"/>
      </w:rPr>
    </w:lvl>
    <w:lvl w:ilvl="4">
      <w:start w:val="1"/>
      <w:numFmt w:val="upperLetter"/>
      <w:lvlText w:val="(%5)"/>
      <w:lvlJc w:val="left"/>
      <w:pPr>
        <w:tabs>
          <w:tab w:val="num" w:pos="2641"/>
        </w:tabs>
        <w:ind w:left="2641" w:hanging="623"/>
      </w:pPr>
      <w:rPr>
        <w:rFonts w:hint="default"/>
        <w:b w:val="0"/>
        <w:i w:val="0"/>
        <w:sz w:val="18"/>
        <w:szCs w:val="18"/>
      </w:rPr>
    </w:lvl>
    <w:lvl w:ilvl="5">
      <w:start w:val="27"/>
      <w:numFmt w:val="lowerLetter"/>
      <w:lvlText w:val="(%6)"/>
      <w:lvlJc w:val="left"/>
      <w:pPr>
        <w:tabs>
          <w:tab w:val="num" w:pos="3265"/>
        </w:tabs>
        <w:ind w:left="3265" w:hanging="624"/>
      </w:pPr>
      <w:rPr>
        <w:rFonts w:hint="default"/>
        <w:b w:val="0"/>
        <w:i w:val="0"/>
        <w:sz w:val="18"/>
        <w:szCs w:val="18"/>
      </w:rPr>
    </w:lvl>
    <w:lvl w:ilvl="6">
      <w:start w:val="1"/>
      <w:numFmt w:val="lowerLetter"/>
      <w:lvlText w:val="(%7)"/>
      <w:lvlJc w:val="left"/>
      <w:pPr>
        <w:tabs>
          <w:tab w:val="num" w:pos="3889"/>
        </w:tabs>
        <w:ind w:left="3889" w:hanging="624"/>
      </w:pPr>
      <w:rPr>
        <w:rFonts w:hint="default"/>
      </w:rPr>
    </w:lvl>
    <w:lvl w:ilvl="7">
      <w:start w:val="1"/>
      <w:numFmt w:val="lowerRoman"/>
      <w:lvlText w:val="(%8)"/>
      <w:lvlJc w:val="left"/>
      <w:pPr>
        <w:tabs>
          <w:tab w:val="num" w:pos="4513"/>
        </w:tabs>
        <w:ind w:left="4513" w:hanging="624"/>
      </w:pPr>
      <w:rPr>
        <w:rFonts w:hint="default"/>
      </w:rPr>
    </w:lvl>
    <w:lvl w:ilvl="8">
      <w:start w:val="1"/>
      <w:numFmt w:val="none"/>
      <w:lvlText w:val=""/>
      <w:lvlJc w:val="left"/>
      <w:pPr>
        <w:tabs>
          <w:tab w:val="num" w:pos="-12"/>
        </w:tabs>
        <w:ind w:left="-12" w:firstLine="0"/>
      </w:pPr>
      <w:rPr>
        <w:rFonts w:hint="default"/>
      </w:rPr>
    </w:lvl>
  </w:abstractNum>
  <w:abstractNum w:abstractNumId="16" w15:restartNumberingAfterBreak="0">
    <w:nsid w:val="59B13749"/>
    <w:multiLevelType w:val="multilevel"/>
    <w:tmpl w:val="EF423716"/>
    <w:styleLink w:val="numberbullets"/>
    <w:lvl w:ilvl="0">
      <w:start w:val="1"/>
      <w:numFmt w:val="decimal"/>
      <w:lvlText w:val="%1."/>
      <w:lvlJc w:val="left"/>
      <w:pPr>
        <w:ind w:left="1080" w:hanging="720"/>
      </w:pPr>
      <w:rPr>
        <w:rFonts w:ascii="Verdana" w:hAnsi="Verdana" w:hint="default"/>
        <w:sz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E76298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6C56BE9"/>
    <w:multiLevelType w:val="hybridMultilevel"/>
    <w:tmpl w:val="2DD47B50"/>
    <w:lvl w:ilvl="0" w:tplc="32D8DD5C">
      <w:start w:val="1"/>
      <w:numFmt w:val="decimal"/>
      <w:lvlText w:val="%1."/>
      <w:lvlJc w:val="left"/>
      <w:pPr>
        <w:ind w:left="2699" w:hanging="360"/>
      </w:pPr>
      <w:rPr>
        <w:rFonts w:ascii="Calibri" w:hAnsi="Calibri" w:hint="default"/>
        <w:sz w:val="24"/>
      </w:rPr>
    </w:lvl>
    <w:lvl w:ilvl="1" w:tplc="08090019" w:tentative="1">
      <w:start w:val="1"/>
      <w:numFmt w:val="lowerLetter"/>
      <w:lvlText w:val="%2."/>
      <w:lvlJc w:val="left"/>
      <w:pPr>
        <w:ind w:left="3419" w:hanging="360"/>
      </w:pPr>
    </w:lvl>
    <w:lvl w:ilvl="2" w:tplc="0809001B" w:tentative="1">
      <w:start w:val="1"/>
      <w:numFmt w:val="lowerRoman"/>
      <w:lvlText w:val="%3."/>
      <w:lvlJc w:val="right"/>
      <w:pPr>
        <w:ind w:left="4139" w:hanging="180"/>
      </w:pPr>
    </w:lvl>
    <w:lvl w:ilvl="3" w:tplc="0809000F" w:tentative="1">
      <w:start w:val="1"/>
      <w:numFmt w:val="decimal"/>
      <w:lvlText w:val="%4."/>
      <w:lvlJc w:val="left"/>
      <w:pPr>
        <w:ind w:left="4859" w:hanging="360"/>
      </w:pPr>
    </w:lvl>
    <w:lvl w:ilvl="4" w:tplc="08090019" w:tentative="1">
      <w:start w:val="1"/>
      <w:numFmt w:val="lowerLetter"/>
      <w:lvlText w:val="%5."/>
      <w:lvlJc w:val="left"/>
      <w:pPr>
        <w:ind w:left="5579" w:hanging="360"/>
      </w:pPr>
    </w:lvl>
    <w:lvl w:ilvl="5" w:tplc="0809001B" w:tentative="1">
      <w:start w:val="1"/>
      <w:numFmt w:val="lowerRoman"/>
      <w:lvlText w:val="%6."/>
      <w:lvlJc w:val="right"/>
      <w:pPr>
        <w:ind w:left="6299" w:hanging="180"/>
      </w:pPr>
    </w:lvl>
    <w:lvl w:ilvl="6" w:tplc="0809000F" w:tentative="1">
      <w:start w:val="1"/>
      <w:numFmt w:val="decimal"/>
      <w:lvlText w:val="%7."/>
      <w:lvlJc w:val="left"/>
      <w:pPr>
        <w:ind w:left="7019" w:hanging="360"/>
      </w:pPr>
    </w:lvl>
    <w:lvl w:ilvl="7" w:tplc="08090019" w:tentative="1">
      <w:start w:val="1"/>
      <w:numFmt w:val="lowerLetter"/>
      <w:lvlText w:val="%8."/>
      <w:lvlJc w:val="left"/>
      <w:pPr>
        <w:ind w:left="7739" w:hanging="360"/>
      </w:pPr>
    </w:lvl>
    <w:lvl w:ilvl="8" w:tplc="0809001B" w:tentative="1">
      <w:start w:val="1"/>
      <w:numFmt w:val="lowerRoman"/>
      <w:lvlText w:val="%9."/>
      <w:lvlJc w:val="right"/>
      <w:pPr>
        <w:ind w:left="8459" w:hanging="180"/>
      </w:pPr>
    </w:lvl>
  </w:abstractNum>
  <w:abstractNum w:abstractNumId="19" w15:restartNumberingAfterBreak="0">
    <w:nsid w:val="7EFD0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32388031">
    <w:abstractNumId w:val="10"/>
  </w:num>
  <w:num w:numId="2" w16cid:durableId="1693609332">
    <w:abstractNumId w:val="16"/>
  </w:num>
  <w:num w:numId="3" w16cid:durableId="1783304565">
    <w:abstractNumId w:val="4"/>
  </w:num>
  <w:num w:numId="4" w16cid:durableId="1673338376">
    <w:abstractNumId w:val="1"/>
  </w:num>
  <w:num w:numId="5" w16cid:durableId="2093696074">
    <w:abstractNumId w:val="1"/>
  </w:num>
  <w:num w:numId="6" w16cid:durableId="1295477840">
    <w:abstractNumId w:val="1"/>
  </w:num>
  <w:num w:numId="7" w16cid:durableId="748969324">
    <w:abstractNumId w:val="1"/>
  </w:num>
  <w:num w:numId="8" w16cid:durableId="659965753">
    <w:abstractNumId w:val="12"/>
  </w:num>
  <w:num w:numId="9" w16cid:durableId="2078552156">
    <w:abstractNumId w:val="1"/>
  </w:num>
  <w:num w:numId="10" w16cid:durableId="1210461560">
    <w:abstractNumId w:val="1"/>
  </w:num>
  <w:num w:numId="11" w16cid:durableId="1387796080">
    <w:abstractNumId w:val="1"/>
  </w:num>
  <w:num w:numId="12" w16cid:durableId="1747802665">
    <w:abstractNumId w:val="15"/>
  </w:num>
  <w:num w:numId="13" w16cid:durableId="2100328270">
    <w:abstractNumId w:val="15"/>
  </w:num>
  <w:num w:numId="14" w16cid:durableId="632294372">
    <w:abstractNumId w:val="0"/>
  </w:num>
  <w:num w:numId="15" w16cid:durableId="1645616775">
    <w:abstractNumId w:val="11"/>
  </w:num>
  <w:num w:numId="16" w16cid:durableId="1866094519">
    <w:abstractNumId w:val="6"/>
  </w:num>
  <w:num w:numId="17" w16cid:durableId="1710255883">
    <w:abstractNumId w:val="2"/>
  </w:num>
  <w:num w:numId="18" w16cid:durableId="1658262043">
    <w:abstractNumId w:val="8"/>
  </w:num>
  <w:num w:numId="19" w16cid:durableId="1951937229">
    <w:abstractNumId w:val="9"/>
  </w:num>
  <w:num w:numId="20" w16cid:durableId="356272264">
    <w:abstractNumId w:val="13"/>
  </w:num>
  <w:num w:numId="21" w16cid:durableId="1643315633">
    <w:abstractNumId w:val="3"/>
  </w:num>
  <w:num w:numId="22" w16cid:durableId="709721358">
    <w:abstractNumId w:val="14"/>
  </w:num>
  <w:num w:numId="23" w16cid:durableId="1807435107">
    <w:abstractNumId w:val="19"/>
  </w:num>
  <w:num w:numId="24" w16cid:durableId="1431002652">
    <w:abstractNumId w:val="5"/>
  </w:num>
  <w:num w:numId="25" w16cid:durableId="1818380689">
    <w:abstractNumId w:val="17"/>
  </w:num>
  <w:num w:numId="26" w16cid:durableId="518856759">
    <w:abstractNumId w:val="7"/>
  </w:num>
  <w:num w:numId="27" w16cid:durableId="306784974">
    <w:abstractNumId w:val="5"/>
  </w:num>
  <w:num w:numId="28" w16cid:durableId="20082906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6D1"/>
    <w:rsid w:val="00003375"/>
    <w:rsid w:val="00013DD1"/>
    <w:rsid w:val="00023C9E"/>
    <w:rsid w:val="00090EEE"/>
    <w:rsid w:val="00095C35"/>
    <w:rsid w:val="000B279B"/>
    <w:rsid w:val="000B5EDB"/>
    <w:rsid w:val="000E35DC"/>
    <w:rsid w:val="001065F3"/>
    <w:rsid w:val="00121020"/>
    <w:rsid w:val="00127260"/>
    <w:rsid w:val="00130257"/>
    <w:rsid w:val="00191A08"/>
    <w:rsid w:val="00197340"/>
    <w:rsid w:val="001A3678"/>
    <w:rsid w:val="001A5316"/>
    <w:rsid w:val="001B496A"/>
    <w:rsid w:val="001B5452"/>
    <w:rsid w:val="001B5EA9"/>
    <w:rsid w:val="001D37EE"/>
    <w:rsid w:val="001D460E"/>
    <w:rsid w:val="001D4B78"/>
    <w:rsid w:val="001E6F23"/>
    <w:rsid w:val="001F17A5"/>
    <w:rsid w:val="001F6097"/>
    <w:rsid w:val="00202C0F"/>
    <w:rsid w:val="00224CA3"/>
    <w:rsid w:val="002267F7"/>
    <w:rsid w:val="002335DD"/>
    <w:rsid w:val="0023510E"/>
    <w:rsid w:val="002442B0"/>
    <w:rsid w:val="00254524"/>
    <w:rsid w:val="00255AA7"/>
    <w:rsid w:val="00274363"/>
    <w:rsid w:val="002770E7"/>
    <w:rsid w:val="00282A38"/>
    <w:rsid w:val="002B350C"/>
    <w:rsid w:val="002B62D6"/>
    <w:rsid w:val="002C6285"/>
    <w:rsid w:val="002C6D7F"/>
    <w:rsid w:val="002E093B"/>
    <w:rsid w:val="002E6E32"/>
    <w:rsid w:val="003013FA"/>
    <w:rsid w:val="00326F7B"/>
    <w:rsid w:val="00345174"/>
    <w:rsid w:val="00355919"/>
    <w:rsid w:val="003606CA"/>
    <w:rsid w:val="0036201B"/>
    <w:rsid w:val="00376066"/>
    <w:rsid w:val="003869F2"/>
    <w:rsid w:val="0039659D"/>
    <w:rsid w:val="003A1B57"/>
    <w:rsid w:val="003A7FE2"/>
    <w:rsid w:val="003B0E48"/>
    <w:rsid w:val="003B7B3F"/>
    <w:rsid w:val="003C54A1"/>
    <w:rsid w:val="003D794C"/>
    <w:rsid w:val="003D7A34"/>
    <w:rsid w:val="003E2E6D"/>
    <w:rsid w:val="00402F1E"/>
    <w:rsid w:val="0041454A"/>
    <w:rsid w:val="00447AA2"/>
    <w:rsid w:val="00457570"/>
    <w:rsid w:val="00473820"/>
    <w:rsid w:val="0047435F"/>
    <w:rsid w:val="00474C9C"/>
    <w:rsid w:val="00483381"/>
    <w:rsid w:val="004907E2"/>
    <w:rsid w:val="004A5E19"/>
    <w:rsid w:val="004B0035"/>
    <w:rsid w:val="004C7BE6"/>
    <w:rsid w:val="004D784D"/>
    <w:rsid w:val="004E3420"/>
    <w:rsid w:val="004E42DD"/>
    <w:rsid w:val="004F3A06"/>
    <w:rsid w:val="004F61BC"/>
    <w:rsid w:val="004F63A6"/>
    <w:rsid w:val="00527831"/>
    <w:rsid w:val="00532381"/>
    <w:rsid w:val="005551B3"/>
    <w:rsid w:val="00573999"/>
    <w:rsid w:val="005A76BE"/>
    <w:rsid w:val="005B795F"/>
    <w:rsid w:val="005D2A1D"/>
    <w:rsid w:val="005D312A"/>
    <w:rsid w:val="005D3D7A"/>
    <w:rsid w:val="005D4C76"/>
    <w:rsid w:val="005D65B4"/>
    <w:rsid w:val="005E4F6D"/>
    <w:rsid w:val="005E5236"/>
    <w:rsid w:val="005F2BAB"/>
    <w:rsid w:val="00602A73"/>
    <w:rsid w:val="006158A9"/>
    <w:rsid w:val="00656258"/>
    <w:rsid w:val="00663A0B"/>
    <w:rsid w:val="0069552D"/>
    <w:rsid w:val="006A039B"/>
    <w:rsid w:val="006A6A85"/>
    <w:rsid w:val="006B2316"/>
    <w:rsid w:val="006C3B75"/>
    <w:rsid w:val="006C3EC2"/>
    <w:rsid w:val="006E4A46"/>
    <w:rsid w:val="00700693"/>
    <w:rsid w:val="00702044"/>
    <w:rsid w:val="007044B2"/>
    <w:rsid w:val="007244A3"/>
    <w:rsid w:val="007267AC"/>
    <w:rsid w:val="0074312C"/>
    <w:rsid w:val="00760340"/>
    <w:rsid w:val="007642D2"/>
    <w:rsid w:val="00771F03"/>
    <w:rsid w:val="007725EB"/>
    <w:rsid w:val="00791939"/>
    <w:rsid w:val="00793C08"/>
    <w:rsid w:val="007B1803"/>
    <w:rsid w:val="007C0B7F"/>
    <w:rsid w:val="007F1E68"/>
    <w:rsid w:val="007F6421"/>
    <w:rsid w:val="00804BD3"/>
    <w:rsid w:val="0081041E"/>
    <w:rsid w:val="00813B51"/>
    <w:rsid w:val="008267EE"/>
    <w:rsid w:val="008313F4"/>
    <w:rsid w:val="00851C57"/>
    <w:rsid w:val="0085653B"/>
    <w:rsid w:val="00866295"/>
    <w:rsid w:val="008863D7"/>
    <w:rsid w:val="008C50A0"/>
    <w:rsid w:val="008D311B"/>
    <w:rsid w:val="00941DDD"/>
    <w:rsid w:val="00967825"/>
    <w:rsid w:val="009A4189"/>
    <w:rsid w:val="009B1518"/>
    <w:rsid w:val="009C1DEB"/>
    <w:rsid w:val="009C4277"/>
    <w:rsid w:val="009C47CC"/>
    <w:rsid w:val="009D4EB2"/>
    <w:rsid w:val="009E50AE"/>
    <w:rsid w:val="00A03F68"/>
    <w:rsid w:val="00A154F5"/>
    <w:rsid w:val="00A25BA4"/>
    <w:rsid w:val="00A261BB"/>
    <w:rsid w:val="00A60160"/>
    <w:rsid w:val="00A618CD"/>
    <w:rsid w:val="00A74D2D"/>
    <w:rsid w:val="00A86A77"/>
    <w:rsid w:val="00A87C81"/>
    <w:rsid w:val="00AC1111"/>
    <w:rsid w:val="00AE3751"/>
    <w:rsid w:val="00B10AE6"/>
    <w:rsid w:val="00B1307A"/>
    <w:rsid w:val="00B35C12"/>
    <w:rsid w:val="00B362E5"/>
    <w:rsid w:val="00B4253F"/>
    <w:rsid w:val="00B439A0"/>
    <w:rsid w:val="00B515B1"/>
    <w:rsid w:val="00B64483"/>
    <w:rsid w:val="00B64B23"/>
    <w:rsid w:val="00B85200"/>
    <w:rsid w:val="00B85C3F"/>
    <w:rsid w:val="00B946DF"/>
    <w:rsid w:val="00BA06D1"/>
    <w:rsid w:val="00BA2F2E"/>
    <w:rsid w:val="00BB025F"/>
    <w:rsid w:val="00BE06EB"/>
    <w:rsid w:val="00BE5194"/>
    <w:rsid w:val="00BF2FC0"/>
    <w:rsid w:val="00C026EC"/>
    <w:rsid w:val="00C14B12"/>
    <w:rsid w:val="00C14E19"/>
    <w:rsid w:val="00C16AF0"/>
    <w:rsid w:val="00C46F83"/>
    <w:rsid w:val="00C619CF"/>
    <w:rsid w:val="00C661C3"/>
    <w:rsid w:val="00C803D3"/>
    <w:rsid w:val="00CC7559"/>
    <w:rsid w:val="00CE01B6"/>
    <w:rsid w:val="00CE099C"/>
    <w:rsid w:val="00D1272C"/>
    <w:rsid w:val="00D16045"/>
    <w:rsid w:val="00D2388C"/>
    <w:rsid w:val="00D25523"/>
    <w:rsid w:val="00D50A2B"/>
    <w:rsid w:val="00D6149F"/>
    <w:rsid w:val="00D7394A"/>
    <w:rsid w:val="00D80416"/>
    <w:rsid w:val="00D85050"/>
    <w:rsid w:val="00D858B7"/>
    <w:rsid w:val="00D92A76"/>
    <w:rsid w:val="00D95ACB"/>
    <w:rsid w:val="00D97D86"/>
    <w:rsid w:val="00DB3CF9"/>
    <w:rsid w:val="00DB3D98"/>
    <w:rsid w:val="00DC384A"/>
    <w:rsid w:val="00DC4E24"/>
    <w:rsid w:val="00DC749C"/>
    <w:rsid w:val="00DD0836"/>
    <w:rsid w:val="00DD0985"/>
    <w:rsid w:val="00DD65FD"/>
    <w:rsid w:val="00DE2CDF"/>
    <w:rsid w:val="00DE745C"/>
    <w:rsid w:val="00E11E85"/>
    <w:rsid w:val="00E775EC"/>
    <w:rsid w:val="00E77A7F"/>
    <w:rsid w:val="00E808CA"/>
    <w:rsid w:val="00E8296D"/>
    <w:rsid w:val="00E84046"/>
    <w:rsid w:val="00E94CAA"/>
    <w:rsid w:val="00ED6A8E"/>
    <w:rsid w:val="00F07CAD"/>
    <w:rsid w:val="00F2745B"/>
    <w:rsid w:val="00F31E6C"/>
    <w:rsid w:val="00F36C23"/>
    <w:rsid w:val="00F36D0D"/>
    <w:rsid w:val="00F40B5B"/>
    <w:rsid w:val="00F518DB"/>
    <w:rsid w:val="00F55C03"/>
    <w:rsid w:val="00F81408"/>
    <w:rsid w:val="00F85EF8"/>
    <w:rsid w:val="00F86F1A"/>
    <w:rsid w:val="00F87BD3"/>
    <w:rsid w:val="00F90D77"/>
    <w:rsid w:val="00FC6F28"/>
    <w:rsid w:val="00FD2307"/>
    <w:rsid w:val="00FD3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342BE5"/>
  <w14:defaultImageDpi w14:val="32767"/>
  <w15:chartTrackingRefBased/>
  <w15:docId w15:val="{B4C4C7E8-9C08-4299-800B-A6BB6C7D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224571" w:themeColor="text2"/>
        <w:sz w:val="22"/>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751"/>
    <w:pPr>
      <w:spacing w:after="120"/>
    </w:pPr>
    <w:rPr>
      <w:sz w:val="24"/>
    </w:rPr>
  </w:style>
  <w:style w:type="paragraph" w:styleId="Heading1">
    <w:name w:val="heading 1"/>
    <w:aliases w:val="Heading 1 EPC"/>
    <w:basedOn w:val="Normal"/>
    <w:next w:val="Normal"/>
    <w:link w:val="Heading1Char"/>
    <w:autoRedefine/>
    <w:uiPriority w:val="9"/>
    <w:qFormat/>
    <w:rsid w:val="007C0B7F"/>
    <w:pPr>
      <w:keepNext/>
      <w:keepLines/>
      <w:spacing w:before="240"/>
      <w:outlineLvl w:val="0"/>
    </w:pPr>
    <w:rPr>
      <w:rFonts w:eastAsiaTheme="majorEastAsia" w:cstheme="majorBidi"/>
      <w:b/>
      <w:noProof/>
      <w:sz w:val="50"/>
      <w:szCs w:val="60"/>
    </w:rPr>
  </w:style>
  <w:style w:type="paragraph" w:styleId="Heading2">
    <w:name w:val="heading 2"/>
    <w:aliases w:val="Heading 2 - EPC"/>
    <w:basedOn w:val="Normal"/>
    <w:next w:val="Normal"/>
    <w:link w:val="Heading2Char"/>
    <w:autoRedefine/>
    <w:uiPriority w:val="9"/>
    <w:unhideWhenUsed/>
    <w:qFormat/>
    <w:rsid w:val="00AE3751"/>
    <w:pPr>
      <w:keepNext/>
      <w:keepLines/>
      <w:spacing w:before="240"/>
      <w:outlineLvl w:val="1"/>
    </w:pPr>
    <w:rPr>
      <w:rFonts w:eastAsiaTheme="majorEastAsia" w:cstheme="majorBidi"/>
      <w:b/>
      <w:color w:val="EF7C00" w:themeColor="accent1"/>
      <w:sz w:val="36"/>
      <w:szCs w:val="26"/>
    </w:rPr>
  </w:style>
  <w:style w:type="paragraph" w:styleId="Heading3">
    <w:name w:val="heading 3"/>
    <w:aliases w:val="Heading 3 - EPC"/>
    <w:basedOn w:val="Normal"/>
    <w:next w:val="Normal"/>
    <w:link w:val="Heading3Char"/>
    <w:autoRedefine/>
    <w:uiPriority w:val="9"/>
    <w:unhideWhenUsed/>
    <w:qFormat/>
    <w:rsid w:val="004F63A6"/>
    <w:pPr>
      <w:keepNext/>
      <w:keepLines/>
      <w:spacing w:before="40"/>
      <w:outlineLvl w:val="2"/>
    </w:pPr>
    <w:rPr>
      <w:rFonts w:asciiTheme="majorHAnsi" w:eastAsiaTheme="majorEastAsia" w:hAnsiTheme="majorHAnsi" w:cstheme="majorBidi"/>
      <w:b/>
      <w:color w:val="4F7865" w:themeColor="accent5"/>
      <w:sz w:val="28"/>
    </w:rPr>
  </w:style>
  <w:style w:type="paragraph" w:styleId="Heading4">
    <w:name w:val="heading 4"/>
    <w:aliases w:val="Heading 4 - EPC"/>
    <w:basedOn w:val="Normal"/>
    <w:next w:val="Normal"/>
    <w:link w:val="Heading4Char"/>
    <w:autoRedefine/>
    <w:uiPriority w:val="9"/>
    <w:unhideWhenUsed/>
    <w:qFormat/>
    <w:rsid w:val="007C0B7F"/>
    <w:pPr>
      <w:keepNext/>
      <w:spacing w:before="120"/>
      <w:outlineLvl w:val="3"/>
    </w:pPr>
    <w:rPr>
      <w:rFonts w:eastAsiaTheme="minorEastAsia"/>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53B"/>
    <w:pPr>
      <w:tabs>
        <w:tab w:val="center" w:pos="4680"/>
        <w:tab w:val="right" w:pos="9360"/>
      </w:tabs>
    </w:pPr>
    <w:rPr>
      <w:color w:val="00AA96"/>
    </w:rPr>
  </w:style>
  <w:style w:type="character" w:customStyle="1" w:styleId="HeaderChar">
    <w:name w:val="Header Char"/>
    <w:basedOn w:val="DefaultParagraphFont"/>
    <w:link w:val="Header"/>
    <w:uiPriority w:val="99"/>
    <w:rsid w:val="0085653B"/>
    <w:rPr>
      <w:color w:val="00AA96"/>
    </w:rPr>
  </w:style>
  <w:style w:type="paragraph" w:customStyle="1" w:styleId="BulletPoint">
    <w:name w:val="Bullet Point"/>
    <w:basedOn w:val="Normal"/>
    <w:autoRedefine/>
    <w:qFormat/>
    <w:rsid w:val="00B85200"/>
    <w:pPr>
      <w:numPr>
        <w:numId w:val="26"/>
      </w:numPr>
    </w:pPr>
  </w:style>
  <w:style w:type="table" w:customStyle="1" w:styleId="Table">
    <w:name w:val="Table"/>
    <w:basedOn w:val="TableNormal"/>
    <w:uiPriority w:val="99"/>
    <w:rsid w:val="0081041E"/>
    <w:rPr>
      <w:rFonts w:ascii="Verdana" w:eastAsia="Verdana" w:hAnsi="Verdana"/>
      <w:sz w:val="20"/>
      <w:szCs w:val="20"/>
      <w:lang w:eastAsia="en-GB"/>
    </w:rPr>
    <w:tblPr>
      <w:tblBorders>
        <w:top w:val="single" w:sz="4" w:space="0" w:color="auto"/>
        <w:left w:val="single" w:sz="4" w:space="0" w:color="auto"/>
        <w:bottom w:val="single" w:sz="4" w:space="0" w:color="auto"/>
        <w:right w:val="single" w:sz="4" w:space="0" w:color="auto"/>
      </w:tblBorders>
    </w:tblPr>
  </w:style>
  <w:style w:type="table" w:customStyle="1" w:styleId="TableAPPLiA">
    <w:name w:val="Table APPLiA"/>
    <w:basedOn w:val="TableNormal"/>
    <w:uiPriority w:val="99"/>
    <w:rsid w:val="0081041E"/>
    <w:rPr>
      <w:rFonts w:ascii="Verdana" w:eastAsia="Verdana" w:hAnsi="Verdana"/>
      <w:sz w:val="20"/>
      <w:szCs w:val="20"/>
      <w:lang w:eastAsia="en-GB"/>
    </w:rPr>
    <w:tblPr>
      <w:tblBorders>
        <w:top w:val="single" w:sz="4" w:space="0" w:color="224571" w:themeColor="text2"/>
        <w:left w:val="single" w:sz="4" w:space="0" w:color="224571" w:themeColor="text2"/>
        <w:bottom w:val="single" w:sz="4" w:space="0" w:color="224571" w:themeColor="text2"/>
        <w:right w:val="single" w:sz="4" w:space="0" w:color="224571" w:themeColor="text2"/>
        <w:insideH w:val="single" w:sz="4" w:space="0" w:color="224571" w:themeColor="text2"/>
        <w:insideV w:val="single" w:sz="4" w:space="0" w:color="224571" w:themeColor="text2"/>
      </w:tblBorders>
    </w:tblPr>
    <w:tcPr>
      <w:shd w:val="clear" w:color="auto" w:fill="auto"/>
    </w:tcPr>
    <w:tblStylePr w:type="firstRow">
      <w:pPr>
        <w:wordWrap/>
        <w:spacing w:beforeLines="0" w:before="120" w:beforeAutospacing="0" w:afterLines="0" w:after="120" w:afterAutospacing="0" w:line="240" w:lineRule="auto"/>
      </w:pPr>
      <w:rPr>
        <w:rFonts w:ascii="Verdana" w:hAnsi="Verdana"/>
        <w:b/>
        <w:color w:val="FFFFFF" w:themeColor="background1"/>
        <w:sz w:val="20"/>
      </w:rPr>
      <w:tblPr/>
      <w:tcPr>
        <w:shd w:val="clear" w:color="auto" w:fill="224571" w:themeFill="text2"/>
      </w:tcPr>
    </w:tblStylePr>
    <w:tblStylePr w:type="lastRow">
      <w:tblPr/>
      <w:tcPr>
        <w:shd w:val="clear" w:color="auto" w:fill="auto"/>
      </w:tcPr>
    </w:tblStylePr>
  </w:style>
  <w:style w:type="character" w:customStyle="1" w:styleId="Heading4Char">
    <w:name w:val="Heading 4 Char"/>
    <w:aliases w:val="Heading 4 - EPC Char"/>
    <w:basedOn w:val="DefaultParagraphFont"/>
    <w:link w:val="Heading4"/>
    <w:uiPriority w:val="9"/>
    <w:rsid w:val="007C0B7F"/>
    <w:rPr>
      <w:rFonts w:eastAsiaTheme="minorEastAsia"/>
      <w:b/>
      <w:bCs/>
      <w:color w:val="224571" w:themeColor="text2"/>
      <w:sz w:val="28"/>
      <w:szCs w:val="28"/>
    </w:rPr>
  </w:style>
  <w:style w:type="numbering" w:customStyle="1" w:styleId="numberbullets">
    <w:name w:val="number bullets"/>
    <w:basedOn w:val="NoList"/>
    <w:uiPriority w:val="99"/>
    <w:rsid w:val="0081041E"/>
    <w:pPr>
      <w:numPr>
        <w:numId w:val="2"/>
      </w:numPr>
    </w:pPr>
  </w:style>
  <w:style w:type="numbering" w:customStyle="1" w:styleId="NumberedList">
    <w:name w:val="Numbered List"/>
    <w:basedOn w:val="NoList"/>
    <w:uiPriority w:val="99"/>
    <w:rsid w:val="0081041E"/>
    <w:pPr>
      <w:numPr>
        <w:numId w:val="3"/>
      </w:numPr>
    </w:pPr>
  </w:style>
  <w:style w:type="paragraph" w:customStyle="1" w:styleId="BulletList">
    <w:name w:val="Bullet List"/>
    <w:basedOn w:val="NumberList"/>
    <w:autoRedefine/>
    <w:rsid w:val="00602A73"/>
    <w:rPr>
      <w:lang w:val="fr-FR"/>
    </w:rPr>
  </w:style>
  <w:style w:type="paragraph" w:customStyle="1" w:styleId="NumberList">
    <w:name w:val="Number List"/>
    <w:basedOn w:val="Normal"/>
    <w:autoRedefine/>
    <w:qFormat/>
    <w:rsid w:val="00B85200"/>
    <w:pPr>
      <w:numPr>
        <w:numId w:val="24"/>
      </w:numPr>
      <w:spacing w:before="120"/>
      <w:ind w:left="357" w:hanging="357"/>
    </w:pPr>
    <w:rPr>
      <w:rFonts w:eastAsia="Verdana"/>
    </w:rPr>
  </w:style>
  <w:style w:type="paragraph" w:customStyle="1" w:styleId="HEADINGBULLET">
    <w:name w:val="HEADING BULLET"/>
    <w:basedOn w:val="BulletList"/>
    <w:next w:val="Normal"/>
    <w:autoRedefine/>
    <w:qFormat/>
    <w:rsid w:val="004F63A6"/>
    <w:pPr>
      <w:numPr>
        <w:numId w:val="11"/>
      </w:numPr>
    </w:pPr>
    <w:rPr>
      <w:b/>
      <w:lang w:val="en-GB"/>
    </w:rPr>
  </w:style>
  <w:style w:type="paragraph" w:customStyle="1" w:styleId="H4Ashurst">
    <w:name w:val="H4Ashurst"/>
    <w:basedOn w:val="Normal"/>
    <w:autoRedefine/>
    <w:uiPriority w:val="1"/>
    <w:rsid w:val="007244A3"/>
    <w:pPr>
      <w:numPr>
        <w:ilvl w:val="3"/>
        <w:numId w:val="13"/>
      </w:numPr>
      <w:suppressAutoHyphens/>
      <w:spacing w:after="220" w:line="264" w:lineRule="auto"/>
      <w:jc w:val="both"/>
      <w:outlineLvl w:val="3"/>
    </w:pPr>
    <w:rPr>
      <w:rFonts w:eastAsiaTheme="minorEastAsia"/>
      <w:sz w:val="18"/>
      <w:szCs w:val="20"/>
      <w:lang w:eastAsia="zh-TW"/>
    </w:rPr>
  </w:style>
  <w:style w:type="paragraph" w:customStyle="1" w:styleId="H3Ashurst">
    <w:name w:val="H3Ashurst"/>
    <w:basedOn w:val="Normal"/>
    <w:next w:val="Normal"/>
    <w:autoRedefine/>
    <w:uiPriority w:val="1"/>
    <w:rsid w:val="007244A3"/>
    <w:pPr>
      <w:numPr>
        <w:ilvl w:val="2"/>
        <w:numId w:val="13"/>
      </w:numPr>
      <w:suppressAutoHyphens/>
      <w:spacing w:after="220" w:line="264" w:lineRule="auto"/>
      <w:jc w:val="both"/>
      <w:outlineLvl w:val="2"/>
    </w:pPr>
    <w:rPr>
      <w:rFonts w:eastAsiaTheme="minorEastAsia"/>
      <w:sz w:val="18"/>
      <w:szCs w:val="20"/>
      <w:lang w:eastAsia="zh-TW"/>
    </w:rPr>
  </w:style>
  <w:style w:type="character" w:customStyle="1" w:styleId="Heading1Char">
    <w:name w:val="Heading 1 Char"/>
    <w:aliases w:val="Heading 1 EPC Char"/>
    <w:basedOn w:val="DefaultParagraphFont"/>
    <w:link w:val="Heading1"/>
    <w:uiPriority w:val="9"/>
    <w:rsid w:val="007C0B7F"/>
    <w:rPr>
      <w:rFonts w:ascii="Calibri" w:eastAsiaTheme="majorEastAsia" w:hAnsi="Calibri" w:cstheme="majorBidi"/>
      <w:b/>
      <w:noProof/>
      <w:color w:val="224571" w:themeColor="text2"/>
      <w:sz w:val="50"/>
      <w:szCs w:val="60"/>
    </w:rPr>
  </w:style>
  <w:style w:type="character" w:customStyle="1" w:styleId="Heading2Char">
    <w:name w:val="Heading 2 Char"/>
    <w:aliases w:val="Heading 2 - EPC Char"/>
    <w:basedOn w:val="DefaultParagraphFont"/>
    <w:link w:val="Heading2"/>
    <w:uiPriority w:val="9"/>
    <w:rsid w:val="00AE3751"/>
    <w:rPr>
      <w:rFonts w:eastAsiaTheme="majorEastAsia" w:cstheme="majorBidi"/>
      <w:b/>
      <w:color w:val="EF7C00" w:themeColor="accent1"/>
      <w:sz w:val="36"/>
      <w:szCs w:val="26"/>
    </w:rPr>
  </w:style>
  <w:style w:type="paragraph" w:styleId="Footer">
    <w:name w:val="footer"/>
    <w:basedOn w:val="Normal"/>
    <w:link w:val="FooterChar"/>
    <w:uiPriority w:val="99"/>
    <w:unhideWhenUsed/>
    <w:rsid w:val="005D65B4"/>
    <w:pPr>
      <w:tabs>
        <w:tab w:val="center" w:pos="4680"/>
        <w:tab w:val="right" w:pos="9360"/>
      </w:tabs>
    </w:pPr>
  </w:style>
  <w:style w:type="character" w:customStyle="1" w:styleId="FooterChar">
    <w:name w:val="Footer Char"/>
    <w:basedOn w:val="DefaultParagraphFont"/>
    <w:link w:val="Footer"/>
    <w:uiPriority w:val="99"/>
    <w:rsid w:val="005D65B4"/>
  </w:style>
  <w:style w:type="table" w:styleId="TableGrid">
    <w:name w:val="Table Grid"/>
    <w:basedOn w:val="TableNormal"/>
    <w:uiPriority w:val="39"/>
    <w:rsid w:val="00702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ondlevel">
    <w:name w:val="Second level"/>
    <w:basedOn w:val="BulletPoint"/>
    <w:autoRedefine/>
    <w:rsid w:val="00F518DB"/>
    <w:pPr>
      <w:numPr>
        <w:numId w:val="22"/>
      </w:numPr>
    </w:pPr>
    <w:rPr>
      <w:lang w:val="fr-FR"/>
    </w:rPr>
  </w:style>
  <w:style w:type="character" w:customStyle="1" w:styleId="Heading3Char">
    <w:name w:val="Heading 3 Char"/>
    <w:aliases w:val="Heading 3 - EPC Char"/>
    <w:basedOn w:val="DefaultParagraphFont"/>
    <w:link w:val="Heading3"/>
    <w:uiPriority w:val="9"/>
    <w:rsid w:val="004F63A6"/>
    <w:rPr>
      <w:rFonts w:asciiTheme="majorHAnsi" w:eastAsiaTheme="majorEastAsia" w:hAnsiTheme="majorHAnsi" w:cstheme="majorBidi"/>
      <w:b/>
      <w:color w:val="4F7865" w:themeColor="accent5"/>
      <w:sz w:val="28"/>
    </w:rPr>
  </w:style>
  <w:style w:type="character" w:styleId="Hyperlink">
    <w:name w:val="Hyperlink"/>
    <w:basedOn w:val="DefaultParagraphFont"/>
    <w:uiPriority w:val="99"/>
    <w:unhideWhenUsed/>
    <w:rsid w:val="002770E7"/>
    <w:rPr>
      <w:color w:val="515D8F" w:themeColor="hyperlink"/>
      <w:u w:val="single"/>
    </w:rPr>
  </w:style>
  <w:style w:type="character" w:styleId="PlaceholderText">
    <w:name w:val="Placeholder Text"/>
    <w:basedOn w:val="DefaultParagraphFont"/>
    <w:uiPriority w:val="99"/>
    <w:semiHidden/>
    <w:rsid w:val="00F31E6C"/>
    <w:rPr>
      <w:color w:val="808080"/>
    </w:rPr>
  </w:style>
  <w:style w:type="paragraph" w:styleId="ListParagraph">
    <w:name w:val="List Paragraph"/>
    <w:basedOn w:val="Normal"/>
    <w:uiPriority w:val="34"/>
    <w:qFormat/>
    <w:rsid w:val="006B2316"/>
    <w:pPr>
      <w:ind w:left="720"/>
      <w:contextualSpacing/>
    </w:pPr>
  </w:style>
  <w:style w:type="paragraph" w:customStyle="1" w:styleId="Thirdlevel">
    <w:name w:val="Third level"/>
    <w:basedOn w:val="BulletPoint"/>
    <w:autoRedefine/>
    <w:qFormat/>
    <w:rsid w:val="00F518DB"/>
    <w:rPr>
      <w:lang w:val="fr-FR"/>
    </w:rPr>
  </w:style>
  <w:style w:type="paragraph" w:customStyle="1" w:styleId="p1">
    <w:name w:val="p1"/>
    <w:basedOn w:val="Normal"/>
    <w:rsid w:val="001A5316"/>
    <w:rPr>
      <w:color w:val="234571"/>
      <w:sz w:val="18"/>
      <w:szCs w:val="18"/>
      <w:lang w:eastAsia="en-GB"/>
    </w:rPr>
  </w:style>
  <w:style w:type="paragraph" w:styleId="Subtitle">
    <w:name w:val="Subtitle"/>
    <w:aliases w:val="Subtitle small"/>
    <w:basedOn w:val="Normal"/>
    <w:next w:val="Normal"/>
    <w:link w:val="SubtitleChar"/>
    <w:uiPriority w:val="11"/>
    <w:qFormat/>
    <w:rsid w:val="00B85200"/>
    <w:pPr>
      <w:numPr>
        <w:ilvl w:val="1"/>
      </w:numPr>
      <w:spacing w:after="160"/>
    </w:pPr>
    <w:rPr>
      <w:rFonts w:asciiTheme="minorHAnsi" w:eastAsiaTheme="minorEastAsia" w:hAnsiTheme="minorHAnsi" w:cstheme="minorBidi"/>
      <w:sz w:val="20"/>
      <w:szCs w:val="22"/>
    </w:rPr>
  </w:style>
  <w:style w:type="character" w:customStyle="1" w:styleId="SubtitleChar">
    <w:name w:val="Subtitle Char"/>
    <w:aliases w:val="Subtitle small Char"/>
    <w:basedOn w:val="DefaultParagraphFont"/>
    <w:link w:val="Subtitle"/>
    <w:uiPriority w:val="11"/>
    <w:rsid w:val="00B85200"/>
    <w:rPr>
      <w:rFonts w:asciiTheme="minorHAnsi" w:eastAsiaTheme="minorEastAsia" w:hAnsiTheme="minorHAnsi" w:cstheme="minorBidi"/>
      <w:sz w:val="20"/>
      <w:szCs w:val="22"/>
    </w:rPr>
  </w:style>
  <w:style w:type="character" w:styleId="SubtleEmphasis">
    <w:name w:val="Subtle Emphasis"/>
    <w:basedOn w:val="DefaultParagraphFont"/>
    <w:uiPriority w:val="19"/>
    <w:qFormat/>
    <w:rsid w:val="00FD2307"/>
    <w:rPr>
      <w:i/>
      <w:iCs/>
      <w:color w:val="224571" w:themeColor="text2"/>
    </w:rPr>
  </w:style>
  <w:style w:type="character" w:styleId="Emphasis">
    <w:name w:val="Emphasis"/>
    <w:basedOn w:val="DefaultParagraphFont"/>
    <w:uiPriority w:val="20"/>
    <w:qFormat/>
    <w:rsid w:val="00FD2307"/>
    <w:rPr>
      <w:rFonts w:ascii="Calibri" w:hAnsi="Calibri"/>
      <w:i/>
      <w:iCs/>
      <w:sz w:val="24"/>
    </w:rPr>
  </w:style>
  <w:style w:type="paragraph" w:styleId="Quote">
    <w:name w:val="Quote"/>
    <w:basedOn w:val="Normal"/>
    <w:next w:val="Normal"/>
    <w:link w:val="QuoteChar"/>
    <w:uiPriority w:val="29"/>
    <w:qFormat/>
    <w:rsid w:val="00FD2307"/>
    <w:pPr>
      <w:spacing w:before="200" w:after="160"/>
      <w:ind w:left="864" w:right="864"/>
      <w:jc w:val="center"/>
    </w:pPr>
    <w:rPr>
      <w:i/>
      <w:iCs/>
    </w:rPr>
  </w:style>
  <w:style w:type="character" w:customStyle="1" w:styleId="QuoteChar">
    <w:name w:val="Quote Char"/>
    <w:basedOn w:val="DefaultParagraphFont"/>
    <w:link w:val="Quote"/>
    <w:uiPriority w:val="29"/>
    <w:rsid w:val="00FD2307"/>
    <w:rPr>
      <w:i/>
      <w:iCs/>
      <w:sz w:val="24"/>
    </w:rPr>
  </w:style>
  <w:style w:type="character" w:customStyle="1" w:styleId="UnresolvedMention1">
    <w:name w:val="Unresolved Mention1"/>
    <w:basedOn w:val="DefaultParagraphFont"/>
    <w:uiPriority w:val="99"/>
    <w:rsid w:val="00121020"/>
    <w:rPr>
      <w:color w:val="605E5C"/>
      <w:shd w:val="clear" w:color="auto" w:fill="E1DFDD"/>
    </w:rPr>
  </w:style>
  <w:style w:type="character" w:styleId="SubtleReference">
    <w:name w:val="Subtle Reference"/>
    <w:basedOn w:val="DefaultParagraphFont"/>
    <w:uiPriority w:val="31"/>
    <w:qFormat/>
    <w:rsid w:val="00E11E85"/>
    <w:rPr>
      <w:rFonts w:ascii="Calibri" w:hAnsi="Calibri"/>
      <w:smallCaps/>
      <w:color w:val="224571" w:themeColor="text2"/>
      <w:sz w:val="22"/>
    </w:rPr>
  </w:style>
  <w:style w:type="character" w:styleId="CommentReference">
    <w:name w:val="annotation reference"/>
    <w:basedOn w:val="DefaultParagraphFont"/>
    <w:uiPriority w:val="99"/>
    <w:semiHidden/>
    <w:unhideWhenUsed/>
    <w:rsid w:val="00BA06D1"/>
    <w:rPr>
      <w:sz w:val="16"/>
      <w:szCs w:val="16"/>
    </w:rPr>
  </w:style>
  <w:style w:type="paragraph" w:styleId="CommentText">
    <w:name w:val="annotation text"/>
    <w:basedOn w:val="Normal"/>
    <w:link w:val="CommentTextChar"/>
    <w:uiPriority w:val="99"/>
    <w:unhideWhenUsed/>
    <w:rsid w:val="00BA06D1"/>
    <w:rPr>
      <w:sz w:val="20"/>
      <w:szCs w:val="20"/>
    </w:rPr>
  </w:style>
  <w:style w:type="character" w:customStyle="1" w:styleId="CommentTextChar">
    <w:name w:val="Comment Text Char"/>
    <w:basedOn w:val="DefaultParagraphFont"/>
    <w:link w:val="CommentText"/>
    <w:uiPriority w:val="99"/>
    <w:rsid w:val="00BA06D1"/>
    <w:rPr>
      <w:sz w:val="20"/>
      <w:szCs w:val="20"/>
    </w:rPr>
  </w:style>
  <w:style w:type="paragraph" w:styleId="CommentSubject">
    <w:name w:val="annotation subject"/>
    <w:basedOn w:val="CommentText"/>
    <w:next w:val="CommentText"/>
    <w:link w:val="CommentSubjectChar"/>
    <w:uiPriority w:val="99"/>
    <w:semiHidden/>
    <w:unhideWhenUsed/>
    <w:rsid w:val="00BA06D1"/>
    <w:rPr>
      <w:b/>
      <w:bCs/>
    </w:rPr>
  </w:style>
  <w:style w:type="character" w:customStyle="1" w:styleId="CommentSubjectChar">
    <w:name w:val="Comment Subject Char"/>
    <w:basedOn w:val="CommentTextChar"/>
    <w:link w:val="CommentSubject"/>
    <w:uiPriority w:val="99"/>
    <w:semiHidden/>
    <w:rsid w:val="00BA06D1"/>
    <w:rPr>
      <w:b/>
      <w:bCs/>
      <w:sz w:val="20"/>
      <w:szCs w:val="20"/>
    </w:rPr>
  </w:style>
  <w:style w:type="paragraph" w:styleId="Revision">
    <w:name w:val="Revision"/>
    <w:hidden/>
    <w:uiPriority w:val="99"/>
    <w:semiHidden/>
    <w:rsid w:val="005E4F6D"/>
    <w:rPr>
      <w:sz w:val="24"/>
    </w:rPr>
  </w:style>
  <w:style w:type="paragraph" w:styleId="BalloonText">
    <w:name w:val="Balloon Text"/>
    <w:basedOn w:val="Normal"/>
    <w:link w:val="BalloonTextChar"/>
    <w:uiPriority w:val="99"/>
    <w:semiHidden/>
    <w:unhideWhenUsed/>
    <w:rsid w:val="00013DD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D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933702">
      <w:bodyDiv w:val="1"/>
      <w:marLeft w:val="0"/>
      <w:marRight w:val="0"/>
      <w:marTop w:val="0"/>
      <w:marBottom w:val="0"/>
      <w:divBdr>
        <w:top w:val="none" w:sz="0" w:space="0" w:color="auto"/>
        <w:left w:val="none" w:sz="0" w:space="0" w:color="auto"/>
        <w:bottom w:val="none" w:sz="0" w:space="0" w:color="auto"/>
        <w:right w:val="none" w:sz="0" w:space="0" w:color="auto"/>
      </w:divBdr>
    </w:div>
    <w:div w:id="681785195">
      <w:bodyDiv w:val="1"/>
      <w:marLeft w:val="0"/>
      <w:marRight w:val="0"/>
      <w:marTop w:val="0"/>
      <w:marBottom w:val="0"/>
      <w:divBdr>
        <w:top w:val="none" w:sz="0" w:space="0" w:color="auto"/>
        <w:left w:val="none" w:sz="0" w:space="0" w:color="auto"/>
        <w:bottom w:val="none" w:sz="0" w:space="0" w:color="auto"/>
        <w:right w:val="none" w:sz="0" w:space="0" w:color="auto"/>
      </w:divBdr>
    </w:div>
    <w:div w:id="771510535">
      <w:bodyDiv w:val="1"/>
      <w:marLeft w:val="0"/>
      <w:marRight w:val="0"/>
      <w:marTop w:val="0"/>
      <w:marBottom w:val="0"/>
      <w:divBdr>
        <w:top w:val="none" w:sz="0" w:space="0" w:color="auto"/>
        <w:left w:val="none" w:sz="0" w:space="0" w:color="auto"/>
        <w:bottom w:val="none" w:sz="0" w:space="0" w:color="auto"/>
        <w:right w:val="none" w:sz="0" w:space="0" w:color="auto"/>
      </w:divBdr>
    </w:div>
    <w:div w:id="782925528">
      <w:bodyDiv w:val="1"/>
      <w:marLeft w:val="0"/>
      <w:marRight w:val="0"/>
      <w:marTop w:val="0"/>
      <w:marBottom w:val="0"/>
      <w:divBdr>
        <w:top w:val="none" w:sz="0" w:space="0" w:color="auto"/>
        <w:left w:val="none" w:sz="0" w:space="0" w:color="auto"/>
        <w:bottom w:val="none" w:sz="0" w:space="0" w:color="auto"/>
        <w:right w:val="none" w:sz="0" w:space="0" w:color="auto"/>
      </w:divBdr>
    </w:div>
    <w:div w:id="1052923642">
      <w:bodyDiv w:val="1"/>
      <w:marLeft w:val="0"/>
      <w:marRight w:val="0"/>
      <w:marTop w:val="0"/>
      <w:marBottom w:val="0"/>
      <w:divBdr>
        <w:top w:val="none" w:sz="0" w:space="0" w:color="auto"/>
        <w:left w:val="none" w:sz="0" w:space="0" w:color="auto"/>
        <w:bottom w:val="none" w:sz="0" w:space="0" w:color="auto"/>
        <w:right w:val="none" w:sz="0" w:space="0" w:color="auto"/>
      </w:divBdr>
    </w:div>
    <w:div w:id="1138642047">
      <w:bodyDiv w:val="1"/>
      <w:marLeft w:val="0"/>
      <w:marRight w:val="0"/>
      <w:marTop w:val="0"/>
      <w:marBottom w:val="0"/>
      <w:divBdr>
        <w:top w:val="none" w:sz="0" w:space="0" w:color="auto"/>
        <w:left w:val="none" w:sz="0" w:space="0" w:color="auto"/>
        <w:bottom w:val="none" w:sz="0" w:space="0" w:color="auto"/>
        <w:right w:val="none" w:sz="0" w:space="0" w:color="auto"/>
      </w:divBdr>
    </w:div>
    <w:div w:id="1392773858">
      <w:bodyDiv w:val="1"/>
      <w:marLeft w:val="0"/>
      <w:marRight w:val="0"/>
      <w:marTop w:val="0"/>
      <w:marBottom w:val="0"/>
      <w:divBdr>
        <w:top w:val="none" w:sz="0" w:space="0" w:color="auto"/>
        <w:left w:val="none" w:sz="0" w:space="0" w:color="auto"/>
        <w:bottom w:val="none" w:sz="0" w:space="0" w:color="auto"/>
        <w:right w:val="none" w:sz="0" w:space="0" w:color="auto"/>
      </w:divBdr>
    </w:div>
    <w:div w:id="1847818236">
      <w:bodyDiv w:val="1"/>
      <w:marLeft w:val="0"/>
      <w:marRight w:val="0"/>
      <w:marTop w:val="0"/>
      <w:marBottom w:val="0"/>
      <w:divBdr>
        <w:top w:val="none" w:sz="0" w:space="0" w:color="auto"/>
        <w:left w:val="none" w:sz="0" w:space="0" w:color="auto"/>
        <w:bottom w:val="none" w:sz="0" w:space="0" w:color="auto"/>
        <w:right w:val="none" w:sz="0" w:space="0" w:color="auto"/>
      </w:divBdr>
    </w:div>
    <w:div w:id="2085758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europeanpaymentscouncil.eu/news-insight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linkedin.com/company/european-payments-council/"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user/europeanpayment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uta.murnikaite@epc-cep.eu"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itter.com/EPC_SEPA"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EPC Colours">
      <a:dk1>
        <a:srgbClr val="000000"/>
      </a:dk1>
      <a:lt1>
        <a:srgbClr val="FFFFFF"/>
      </a:lt1>
      <a:dk2>
        <a:srgbClr val="224571"/>
      </a:dk2>
      <a:lt2>
        <a:srgbClr val="E7E6E6"/>
      </a:lt2>
      <a:accent1>
        <a:srgbClr val="EF7C00"/>
      </a:accent1>
      <a:accent2>
        <a:srgbClr val="FDCE6D"/>
      </a:accent2>
      <a:accent3>
        <a:srgbClr val="C78FAC"/>
      </a:accent3>
      <a:accent4>
        <a:srgbClr val="A8B446"/>
      </a:accent4>
      <a:accent5>
        <a:srgbClr val="4F7865"/>
      </a:accent5>
      <a:accent6>
        <a:srgbClr val="EC6B4F"/>
      </a:accent6>
      <a:hlink>
        <a:srgbClr val="515D8F"/>
      </a:hlink>
      <a:folHlink>
        <a:srgbClr val="FECF6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B4EEB42CBD424E8FEA273D77F7C1C5" ma:contentTypeVersion="4" ma:contentTypeDescription="Create a new document." ma:contentTypeScope="" ma:versionID="21718dc045f069a5622b86d5d486d5d7">
  <xsd:schema xmlns:xsd="http://www.w3.org/2001/XMLSchema" xmlns:xs="http://www.w3.org/2001/XMLSchema" xmlns:p="http://schemas.microsoft.com/office/2006/metadata/properties" xmlns:ns2="a6938cdd-43ed-4da3-ac32-81399dd03380" targetNamespace="http://schemas.microsoft.com/office/2006/metadata/properties" ma:root="true" ma:fieldsID="98a95005a1b79fddf769e3a5f9a2c75e" ns2:_="">
    <xsd:import namespace="a6938cdd-43ed-4da3-ac32-81399dd03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38cdd-43ed-4da3-ac32-81399dd03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0991FB-F300-4C74-8EC7-AA57209D6313}">
  <ds:schemaRefs>
    <ds:schemaRef ds:uri="http://schemas.microsoft.com/sharepoint/v3/contenttype/forms"/>
  </ds:schemaRefs>
</ds:datastoreItem>
</file>

<file path=customXml/itemProps2.xml><?xml version="1.0" encoding="utf-8"?>
<ds:datastoreItem xmlns:ds="http://schemas.openxmlformats.org/officeDocument/2006/customXml" ds:itemID="{1F856610-8568-464F-A947-716AD24A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38cdd-43ed-4da3-ac32-81399dd03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1C859D-8755-40E4-89B7-EE7A5BD33F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Murnikaite</dc:creator>
  <cp:keywords/>
  <dc:description/>
  <cp:lastModifiedBy>Hanna Sainio</cp:lastModifiedBy>
  <cp:revision>5</cp:revision>
  <cp:lastPrinted>2019-04-30T15:33:00Z</cp:lastPrinted>
  <dcterms:created xsi:type="dcterms:W3CDTF">2025-03-06T06:50:00Z</dcterms:created>
  <dcterms:modified xsi:type="dcterms:W3CDTF">2025-03-06T06:52:00Z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0x010100B6B4EEB42CBD424E8FEA273D77F7C1C5</vt:lpwstr>
  </property>
  <property fmtid="{D5CDD505-2E9C-101B-9397-08002B2CF9AE}" pid="3" name="Order">
    <vt:r8>8400</vt:r8>
  </property>
  <property fmtid="{D5CDD505-2E9C-101B-9397-08002B2CF9AE}" pid="4" name="MediaServiceImageTags">
    <vt:lpwstr/>
  </property>
</Properties>
</file>